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1DC07A">
      <w:pPr>
        <w:spacing w:line="240" w:lineRule="atLeast"/>
        <w:jc w:val="both"/>
        <w:rPr>
          <w:rFonts w:hint="eastAsia"/>
          <w:b/>
          <w:sz w:val="52"/>
          <w:szCs w:val="52"/>
          <w:highlight w:val="none"/>
        </w:rPr>
      </w:pPr>
    </w:p>
    <w:p w14:paraId="6B6DB619">
      <w:pPr>
        <w:spacing w:line="360" w:lineRule="auto"/>
        <w:jc w:val="center"/>
        <w:rPr>
          <w:rFonts w:hint="eastAsia"/>
          <w:b/>
          <w:bCs/>
          <w:sz w:val="56"/>
          <w:szCs w:val="56"/>
          <w:highlight w:val="none"/>
        </w:rPr>
      </w:pPr>
      <w:r>
        <w:rPr>
          <w:rFonts w:hint="eastAsia"/>
          <w:b/>
          <w:bCs/>
          <w:sz w:val="48"/>
          <w:szCs w:val="48"/>
          <w:highlight w:val="none"/>
          <w:lang w:eastAsia="zh-CN"/>
        </w:rPr>
        <w:t>菏泽市住房和城乡建设局2025年度第三方质量安全辅助巡查服务项目</w:t>
      </w:r>
    </w:p>
    <w:p w14:paraId="002A157F">
      <w:pPr>
        <w:spacing w:line="240" w:lineRule="auto"/>
        <w:jc w:val="center"/>
        <w:rPr>
          <w:rFonts w:hint="eastAsia"/>
          <w:b/>
          <w:bCs/>
          <w:color w:val="FF0000"/>
          <w:sz w:val="48"/>
          <w:szCs w:val="48"/>
          <w:highlight w:val="none"/>
        </w:rPr>
      </w:pPr>
      <w:r>
        <w:rPr>
          <w:rFonts w:hint="eastAsia"/>
          <w:b/>
          <w:sz w:val="36"/>
          <w:szCs w:val="36"/>
          <w:highlight w:val="none"/>
        </w:rPr>
        <w:t>（服务类）</w:t>
      </w:r>
    </w:p>
    <w:p w14:paraId="37575193">
      <w:pPr>
        <w:spacing w:line="240" w:lineRule="auto"/>
        <w:jc w:val="center"/>
        <w:rPr>
          <w:rFonts w:hint="eastAsia"/>
          <w:b/>
          <w:bCs/>
          <w:color w:val="FF0000"/>
          <w:sz w:val="48"/>
          <w:szCs w:val="48"/>
          <w:highlight w:val="none"/>
        </w:rPr>
      </w:pPr>
    </w:p>
    <w:p w14:paraId="2B0993F7">
      <w:pPr>
        <w:spacing w:line="240" w:lineRule="auto"/>
        <w:jc w:val="center"/>
        <w:rPr>
          <w:rFonts w:hint="eastAsia"/>
          <w:b/>
          <w:bCs/>
          <w:color w:val="FF0000"/>
          <w:sz w:val="48"/>
          <w:szCs w:val="48"/>
          <w:highlight w:val="none"/>
        </w:rPr>
      </w:pPr>
    </w:p>
    <w:p w14:paraId="0EEF2C82">
      <w:pPr>
        <w:spacing w:line="240" w:lineRule="auto"/>
        <w:jc w:val="center"/>
        <w:rPr>
          <w:rFonts w:hint="eastAsia"/>
          <w:b/>
          <w:sz w:val="32"/>
          <w:szCs w:val="32"/>
          <w:highlight w:val="none"/>
        </w:rPr>
      </w:pPr>
      <w:r>
        <w:rPr>
          <w:rFonts w:hint="eastAsia"/>
          <w:b/>
          <w:bCs/>
          <w:color w:val="FF0000"/>
          <w:sz w:val="84"/>
          <w:szCs w:val="84"/>
          <w:highlight w:val="none"/>
        </w:rPr>
        <w:t>竞争性磋商文件</w:t>
      </w:r>
    </w:p>
    <w:p w14:paraId="088B36FF">
      <w:pPr>
        <w:spacing w:line="240" w:lineRule="atLeast"/>
        <w:jc w:val="center"/>
        <w:rPr>
          <w:rFonts w:hint="eastAsia"/>
          <w:b/>
          <w:highlight w:val="none"/>
        </w:rPr>
      </w:pPr>
    </w:p>
    <w:p w14:paraId="704F07E1">
      <w:pPr>
        <w:spacing w:line="240" w:lineRule="atLeast"/>
        <w:jc w:val="center"/>
        <w:rPr>
          <w:rFonts w:hint="eastAsia"/>
          <w:b/>
          <w:highlight w:val="none"/>
        </w:rPr>
      </w:pPr>
    </w:p>
    <w:p w14:paraId="2D3027FE">
      <w:pPr>
        <w:spacing w:line="600" w:lineRule="exact"/>
        <w:jc w:val="center"/>
        <w:rPr>
          <w:rFonts w:hint="eastAsia"/>
          <w:b/>
          <w:sz w:val="36"/>
          <w:szCs w:val="36"/>
          <w:highlight w:val="none"/>
        </w:rPr>
      </w:pPr>
      <w:r>
        <w:rPr>
          <w:rFonts w:hint="eastAsia"/>
          <w:b/>
          <w:sz w:val="36"/>
          <w:szCs w:val="36"/>
          <w:highlight w:val="none"/>
        </w:rPr>
        <w:t>第一册</w:t>
      </w:r>
    </w:p>
    <w:p w14:paraId="0A1FEADC">
      <w:pPr>
        <w:spacing w:line="600" w:lineRule="exact"/>
        <w:jc w:val="center"/>
        <w:rPr>
          <w:rFonts w:hint="default" w:eastAsia="宋体"/>
          <w:b/>
          <w:sz w:val="30"/>
          <w:szCs w:val="30"/>
          <w:highlight w:val="none"/>
          <w:lang w:val="en-US" w:eastAsia="zh-CN"/>
        </w:rPr>
      </w:pPr>
      <w:r>
        <w:rPr>
          <w:rFonts w:hint="eastAsia"/>
          <w:b/>
          <w:sz w:val="30"/>
          <w:szCs w:val="30"/>
          <w:highlight w:val="none"/>
        </w:rPr>
        <w:t>项目编号：SDGP371700000202502000427</w:t>
      </w:r>
    </w:p>
    <w:p w14:paraId="0CEE6D07">
      <w:pPr>
        <w:jc w:val="center"/>
        <w:rPr>
          <w:rFonts w:hint="eastAsia"/>
          <w:highlight w:val="none"/>
        </w:rPr>
      </w:pPr>
      <w:r>
        <w:rPr>
          <w:rFonts w:hint="eastAsia"/>
          <w:highlight w:val="none"/>
        </w:rPr>
        <w:drawing>
          <wp:inline distT="0" distB="0" distL="114300" distR="114300">
            <wp:extent cx="1674495" cy="1145540"/>
            <wp:effectExtent l="0" t="0" r="1905" b="1651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8"/>
                    <a:stretch>
                      <a:fillRect/>
                    </a:stretch>
                  </pic:blipFill>
                  <pic:spPr>
                    <a:xfrm>
                      <a:off x="0" y="0"/>
                      <a:ext cx="1674495" cy="1145540"/>
                    </a:xfrm>
                    <a:prstGeom prst="rect">
                      <a:avLst/>
                    </a:prstGeom>
                    <a:noFill/>
                    <a:ln>
                      <a:noFill/>
                    </a:ln>
                  </pic:spPr>
                </pic:pic>
              </a:graphicData>
            </a:graphic>
          </wp:inline>
        </w:drawing>
      </w:r>
    </w:p>
    <w:p w14:paraId="7CFC06AC">
      <w:pPr>
        <w:spacing w:line="600" w:lineRule="exact"/>
        <w:rPr>
          <w:rFonts w:hint="eastAsia"/>
          <w:b/>
          <w:bCs/>
          <w:sz w:val="30"/>
          <w:szCs w:val="30"/>
          <w:highlight w:val="none"/>
        </w:rPr>
      </w:pPr>
    </w:p>
    <w:p w14:paraId="004F9AF8">
      <w:pPr>
        <w:spacing w:line="600" w:lineRule="exact"/>
        <w:rPr>
          <w:rFonts w:hint="eastAsia"/>
          <w:b/>
          <w:bCs/>
          <w:sz w:val="30"/>
          <w:szCs w:val="30"/>
          <w:highlight w:val="none"/>
        </w:rPr>
      </w:pPr>
    </w:p>
    <w:p w14:paraId="14F046C2">
      <w:pPr>
        <w:spacing w:line="600" w:lineRule="exact"/>
        <w:rPr>
          <w:rFonts w:hint="eastAsia"/>
          <w:b/>
          <w:bCs/>
          <w:sz w:val="30"/>
          <w:szCs w:val="30"/>
          <w:highlight w:val="none"/>
        </w:rPr>
      </w:pPr>
    </w:p>
    <w:p w14:paraId="636BF2A7">
      <w:pPr>
        <w:spacing w:before="120" w:beforeLines="50" w:after="120" w:afterLines="50" w:line="480" w:lineRule="auto"/>
        <w:ind w:firstLine="1506" w:firstLineChars="500"/>
        <w:rPr>
          <w:rFonts w:hint="eastAsia" w:eastAsia="宋体"/>
          <w:b/>
          <w:bCs/>
          <w:sz w:val="30"/>
          <w:szCs w:val="30"/>
          <w:highlight w:val="none"/>
          <w:u w:val="single"/>
          <w:lang w:eastAsia="zh-CN"/>
        </w:rPr>
      </w:pPr>
      <w:r>
        <w:rPr>
          <w:rFonts w:hint="eastAsia"/>
          <w:b/>
          <w:bCs/>
          <w:sz w:val="30"/>
          <w:szCs w:val="30"/>
          <w:highlight w:val="none"/>
        </w:rPr>
        <w:t>采   购   人：</w:t>
      </w:r>
      <w:r>
        <w:rPr>
          <w:rFonts w:hint="eastAsia"/>
          <w:b/>
          <w:bCs/>
          <w:sz w:val="30"/>
          <w:szCs w:val="30"/>
          <w:highlight w:val="none"/>
          <w:u w:val="single"/>
          <w:lang w:eastAsia="zh-CN"/>
        </w:rPr>
        <w:t>菏泽市住房和城乡建设局</w:t>
      </w:r>
    </w:p>
    <w:p w14:paraId="3F48D380">
      <w:pPr>
        <w:spacing w:before="120" w:beforeLines="50" w:after="120" w:afterLines="50" w:line="480" w:lineRule="auto"/>
        <w:ind w:firstLine="1506" w:firstLineChars="500"/>
        <w:rPr>
          <w:rFonts w:hint="eastAsia"/>
          <w:b/>
          <w:bCs/>
          <w:sz w:val="30"/>
          <w:szCs w:val="30"/>
          <w:highlight w:val="none"/>
        </w:rPr>
      </w:pPr>
      <w:r>
        <w:rPr>
          <w:rFonts w:hint="eastAsia"/>
          <w:b/>
          <w:bCs/>
          <w:sz w:val="30"/>
          <w:szCs w:val="30"/>
          <w:highlight w:val="none"/>
        </w:rPr>
        <w:t>采购代理机构：</w:t>
      </w:r>
      <w:r>
        <w:rPr>
          <w:rFonts w:hint="eastAsia"/>
          <w:b/>
          <w:bCs/>
          <w:sz w:val="30"/>
          <w:szCs w:val="30"/>
          <w:highlight w:val="none"/>
          <w:u w:val="single"/>
        </w:rPr>
        <w:t>山东东盛建设项目管理有限公司</w:t>
      </w:r>
    </w:p>
    <w:p w14:paraId="67E69F61">
      <w:pPr>
        <w:spacing w:before="120" w:beforeLines="50" w:after="120" w:afterLines="50" w:line="480" w:lineRule="auto"/>
        <w:ind w:firstLine="1506" w:firstLineChars="500"/>
        <w:rPr>
          <w:rFonts w:hint="eastAsia"/>
          <w:kern w:val="0"/>
          <w:szCs w:val="21"/>
          <w:highlight w:val="none"/>
        </w:rPr>
      </w:pPr>
      <w:r>
        <w:rPr>
          <w:rFonts w:hint="eastAsia"/>
          <w:b/>
          <w:bCs/>
          <w:sz w:val="30"/>
          <w:szCs w:val="30"/>
          <w:highlight w:val="none"/>
        </w:rPr>
        <w:t>发  出 日 期：</w:t>
      </w:r>
      <w:r>
        <w:rPr>
          <w:rFonts w:hint="eastAsia"/>
          <w:b/>
          <w:bCs/>
          <w:sz w:val="30"/>
          <w:szCs w:val="30"/>
          <w:highlight w:val="none"/>
          <w:u w:val="single"/>
        </w:rPr>
        <w:t>二〇二五年</w:t>
      </w:r>
      <w:r>
        <w:rPr>
          <w:rFonts w:hint="eastAsia"/>
          <w:b/>
          <w:bCs/>
          <w:sz w:val="30"/>
          <w:szCs w:val="30"/>
          <w:highlight w:val="none"/>
          <w:u w:val="single"/>
          <w:lang w:val="en-US" w:eastAsia="zh-CN"/>
        </w:rPr>
        <w:t>十</w:t>
      </w:r>
      <w:r>
        <w:rPr>
          <w:rFonts w:hint="eastAsia"/>
          <w:b/>
          <w:bCs/>
          <w:sz w:val="30"/>
          <w:szCs w:val="30"/>
          <w:highlight w:val="none"/>
          <w:u w:val="single"/>
        </w:rPr>
        <w:t>月</w:t>
      </w:r>
      <w:r>
        <w:rPr>
          <w:rFonts w:hint="eastAsia"/>
          <w:b/>
          <w:bCs/>
          <w:sz w:val="30"/>
          <w:szCs w:val="30"/>
          <w:highlight w:val="none"/>
          <w:u w:val="single"/>
          <w:lang w:val="en-US" w:eastAsia="zh-CN"/>
        </w:rPr>
        <w:t>二十一</w:t>
      </w:r>
      <w:r>
        <w:rPr>
          <w:rFonts w:hint="eastAsia"/>
          <w:b/>
          <w:bCs/>
          <w:sz w:val="30"/>
          <w:szCs w:val="30"/>
          <w:highlight w:val="none"/>
          <w:u w:val="single"/>
        </w:rPr>
        <w:t>日</w:t>
      </w:r>
      <w:r>
        <w:rPr>
          <w:rFonts w:hint="eastAsia"/>
          <w:b/>
          <w:sz w:val="52"/>
          <w:highlight w:val="none"/>
        </w:rPr>
        <w:br w:type="page"/>
      </w:r>
    </w:p>
    <w:sdt>
      <w:sdtPr>
        <w:rPr>
          <w:rFonts w:hint="eastAsia"/>
          <w:b/>
          <w:kern w:val="44"/>
          <w:szCs w:val="32"/>
          <w:highlight w:val="none"/>
        </w:rPr>
        <w:id w:val="147461897"/>
        <w15:color w:val="DBDBDB"/>
        <w:docPartObj>
          <w:docPartGallery w:val="Table of Contents"/>
          <w:docPartUnique/>
        </w:docPartObj>
      </w:sdtPr>
      <w:sdtEndPr>
        <w:rPr>
          <w:rFonts w:hint="eastAsia"/>
          <w:b/>
          <w:kern w:val="44"/>
          <w:sz w:val="44"/>
          <w:szCs w:val="20"/>
          <w:highlight w:val="none"/>
        </w:rPr>
      </w:sdtEndPr>
      <w:sdtContent>
        <w:p w14:paraId="157D29D4">
          <w:pPr>
            <w:spacing w:line="240" w:lineRule="auto"/>
            <w:jc w:val="center"/>
            <w:rPr>
              <w:rFonts w:hint="eastAsia"/>
              <w:b/>
              <w:bCs/>
              <w:sz w:val="52"/>
              <w:szCs w:val="52"/>
              <w:highlight w:val="none"/>
            </w:rPr>
          </w:pPr>
          <w:bookmarkStart w:id="0" w:name="_Toc515647756"/>
          <w:bookmarkStart w:id="1" w:name="_Toc3804"/>
          <w:bookmarkStart w:id="2" w:name="_Toc27429"/>
          <w:r>
            <w:rPr>
              <w:rFonts w:hint="eastAsia"/>
              <w:b/>
              <w:bCs/>
              <w:sz w:val="52"/>
              <w:szCs w:val="52"/>
              <w:highlight w:val="none"/>
            </w:rPr>
            <w:t>目  录</w:t>
          </w:r>
        </w:p>
        <w:p w14:paraId="3E69120E">
          <w:pPr>
            <w:pStyle w:val="20"/>
            <w:pageBreakBefore w:val="0"/>
            <w:widowControl w:val="0"/>
            <w:tabs>
              <w:tab w:val="right" w:leader="dot" w:pos="9026"/>
            </w:tabs>
            <w:kinsoku/>
            <w:wordWrap/>
            <w:overflowPunct/>
            <w:topLinePunct w:val="0"/>
            <w:bidi w:val="0"/>
            <w:snapToGrid/>
            <w:spacing w:line="260" w:lineRule="exact"/>
            <w:textAlignment w:val="auto"/>
            <w:rPr>
              <w:highlight w:val="none"/>
            </w:rPr>
          </w:pPr>
          <w:r>
            <w:rPr>
              <w:rFonts w:hint="eastAsia"/>
              <w:sz w:val="20"/>
              <w:szCs w:val="20"/>
              <w:highlight w:val="none"/>
            </w:rPr>
            <w:fldChar w:fldCharType="begin"/>
          </w:r>
          <w:r>
            <w:rPr>
              <w:rFonts w:hint="eastAsia"/>
              <w:sz w:val="20"/>
              <w:szCs w:val="20"/>
              <w:highlight w:val="none"/>
            </w:rPr>
            <w:instrText xml:space="preserve">TOC \o "1-3" \h \u </w:instrText>
          </w:r>
          <w:r>
            <w:rPr>
              <w:rFonts w:hint="eastAsia"/>
              <w:sz w:val="20"/>
              <w:szCs w:val="20"/>
              <w:highlight w:val="none"/>
            </w:rPr>
            <w:fldChar w:fldCharType="separate"/>
          </w:r>
          <w:r>
            <w:rPr>
              <w:rFonts w:hint="eastAsia"/>
              <w:szCs w:val="20"/>
              <w:highlight w:val="none"/>
            </w:rPr>
            <w:fldChar w:fldCharType="begin"/>
          </w:r>
          <w:r>
            <w:rPr>
              <w:rFonts w:hint="eastAsia"/>
              <w:szCs w:val="20"/>
              <w:highlight w:val="none"/>
            </w:rPr>
            <w:instrText xml:space="preserve"> HYPERLINK \l _Toc27282 </w:instrText>
          </w:r>
          <w:r>
            <w:rPr>
              <w:rFonts w:hint="eastAsia"/>
              <w:szCs w:val="20"/>
              <w:highlight w:val="none"/>
            </w:rPr>
            <w:fldChar w:fldCharType="separate"/>
          </w:r>
          <w:r>
            <w:rPr>
              <w:rFonts w:hint="eastAsia"/>
              <w:highlight w:val="none"/>
            </w:rPr>
            <w:t>第1章 供应商须知</w:t>
          </w:r>
          <w:r>
            <w:rPr>
              <w:highlight w:val="none"/>
            </w:rPr>
            <w:tab/>
          </w:r>
          <w:r>
            <w:rPr>
              <w:highlight w:val="none"/>
            </w:rPr>
            <w:fldChar w:fldCharType="begin"/>
          </w:r>
          <w:r>
            <w:rPr>
              <w:highlight w:val="none"/>
            </w:rPr>
            <w:instrText xml:space="preserve"> PAGEREF _Toc27282 \h </w:instrText>
          </w:r>
          <w:r>
            <w:rPr>
              <w:highlight w:val="none"/>
            </w:rPr>
            <w:fldChar w:fldCharType="separate"/>
          </w:r>
          <w:r>
            <w:rPr>
              <w:highlight w:val="none"/>
            </w:rPr>
            <w:t>1</w:t>
          </w:r>
          <w:r>
            <w:rPr>
              <w:highlight w:val="none"/>
            </w:rPr>
            <w:fldChar w:fldCharType="end"/>
          </w:r>
          <w:r>
            <w:rPr>
              <w:rFonts w:hint="eastAsia"/>
              <w:szCs w:val="20"/>
              <w:highlight w:val="none"/>
            </w:rPr>
            <w:fldChar w:fldCharType="end"/>
          </w:r>
        </w:p>
        <w:p w14:paraId="67107C31">
          <w:pPr>
            <w:pStyle w:val="23"/>
            <w:pageBreakBefore w:val="0"/>
            <w:widowControl w:val="0"/>
            <w:tabs>
              <w:tab w:val="right" w:leader="dot" w:pos="9026"/>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_Toc17410 </w:instrText>
          </w:r>
          <w:r>
            <w:rPr>
              <w:rFonts w:hint="eastAsia"/>
              <w:highlight w:val="none"/>
            </w:rPr>
            <w:fldChar w:fldCharType="separate"/>
          </w:r>
          <w:r>
            <w:rPr>
              <w:rFonts w:hint="eastAsia"/>
              <w:highlight w:val="none"/>
            </w:rPr>
            <w:t>一、总则</w:t>
          </w:r>
          <w:r>
            <w:rPr>
              <w:highlight w:val="none"/>
            </w:rPr>
            <w:tab/>
          </w:r>
          <w:r>
            <w:rPr>
              <w:highlight w:val="none"/>
            </w:rPr>
            <w:fldChar w:fldCharType="begin"/>
          </w:r>
          <w:r>
            <w:rPr>
              <w:highlight w:val="none"/>
            </w:rPr>
            <w:instrText xml:space="preserve"> PAGEREF _Toc17410 \h </w:instrText>
          </w:r>
          <w:r>
            <w:rPr>
              <w:highlight w:val="none"/>
            </w:rPr>
            <w:fldChar w:fldCharType="separate"/>
          </w:r>
          <w:r>
            <w:rPr>
              <w:highlight w:val="none"/>
            </w:rPr>
            <w:t>1</w:t>
          </w:r>
          <w:r>
            <w:rPr>
              <w:highlight w:val="none"/>
            </w:rPr>
            <w:fldChar w:fldCharType="end"/>
          </w:r>
          <w:r>
            <w:rPr>
              <w:rFonts w:hint="eastAsia"/>
              <w:highlight w:val="none"/>
            </w:rPr>
            <w:fldChar w:fldCharType="end"/>
          </w:r>
        </w:p>
        <w:p w14:paraId="1CB2B5C1">
          <w:pPr>
            <w:pStyle w:val="14"/>
            <w:pageBreakBefore w:val="0"/>
            <w:widowControl w:val="0"/>
            <w:tabs>
              <w:tab w:val="right" w:leader="dot" w:pos="9026"/>
              <w:tab w:val="clear" w:pos="1260"/>
              <w:tab w:val="clear" w:pos="8630"/>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_Toc6075 </w:instrText>
          </w:r>
          <w:r>
            <w:rPr>
              <w:rFonts w:hint="eastAsia"/>
              <w:highlight w:val="none"/>
            </w:rPr>
            <w:fldChar w:fldCharType="separate"/>
          </w:r>
          <w:r>
            <w:rPr>
              <w:rFonts w:hint="eastAsia"/>
              <w:highlight w:val="none"/>
            </w:rPr>
            <w:t>1.采购人、采购代理机构及供应商</w:t>
          </w:r>
          <w:r>
            <w:rPr>
              <w:highlight w:val="none"/>
            </w:rPr>
            <w:tab/>
          </w:r>
          <w:r>
            <w:rPr>
              <w:highlight w:val="none"/>
            </w:rPr>
            <w:fldChar w:fldCharType="begin"/>
          </w:r>
          <w:r>
            <w:rPr>
              <w:highlight w:val="none"/>
            </w:rPr>
            <w:instrText xml:space="preserve"> PAGEREF _Toc6075 \h </w:instrText>
          </w:r>
          <w:r>
            <w:rPr>
              <w:highlight w:val="none"/>
            </w:rPr>
            <w:fldChar w:fldCharType="separate"/>
          </w:r>
          <w:r>
            <w:rPr>
              <w:highlight w:val="none"/>
            </w:rPr>
            <w:t>1</w:t>
          </w:r>
          <w:r>
            <w:rPr>
              <w:highlight w:val="none"/>
            </w:rPr>
            <w:fldChar w:fldCharType="end"/>
          </w:r>
          <w:r>
            <w:rPr>
              <w:rFonts w:hint="eastAsia"/>
              <w:highlight w:val="none"/>
            </w:rPr>
            <w:fldChar w:fldCharType="end"/>
          </w:r>
        </w:p>
        <w:p w14:paraId="54D663F1">
          <w:pPr>
            <w:pStyle w:val="14"/>
            <w:pageBreakBefore w:val="0"/>
            <w:widowControl w:val="0"/>
            <w:tabs>
              <w:tab w:val="right" w:leader="dot" w:pos="9026"/>
              <w:tab w:val="clear" w:pos="1260"/>
              <w:tab w:val="clear" w:pos="8630"/>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_Toc10017 </w:instrText>
          </w:r>
          <w:r>
            <w:rPr>
              <w:rFonts w:hint="eastAsia"/>
              <w:highlight w:val="none"/>
            </w:rPr>
            <w:fldChar w:fldCharType="separate"/>
          </w:r>
          <w:r>
            <w:rPr>
              <w:rFonts w:hint="eastAsia"/>
              <w:highlight w:val="none"/>
            </w:rPr>
            <w:t>2.资金来源</w:t>
          </w:r>
          <w:r>
            <w:rPr>
              <w:highlight w:val="none"/>
            </w:rPr>
            <w:tab/>
          </w:r>
          <w:r>
            <w:rPr>
              <w:highlight w:val="none"/>
            </w:rPr>
            <w:fldChar w:fldCharType="begin"/>
          </w:r>
          <w:r>
            <w:rPr>
              <w:highlight w:val="none"/>
            </w:rPr>
            <w:instrText xml:space="preserve"> PAGEREF _Toc10017 \h </w:instrText>
          </w:r>
          <w:r>
            <w:rPr>
              <w:highlight w:val="none"/>
            </w:rPr>
            <w:fldChar w:fldCharType="separate"/>
          </w:r>
          <w:r>
            <w:rPr>
              <w:highlight w:val="none"/>
            </w:rPr>
            <w:t>1</w:t>
          </w:r>
          <w:r>
            <w:rPr>
              <w:highlight w:val="none"/>
            </w:rPr>
            <w:fldChar w:fldCharType="end"/>
          </w:r>
          <w:r>
            <w:rPr>
              <w:rFonts w:hint="eastAsia"/>
              <w:highlight w:val="none"/>
            </w:rPr>
            <w:fldChar w:fldCharType="end"/>
          </w:r>
        </w:p>
        <w:p w14:paraId="69B13D1C">
          <w:pPr>
            <w:pStyle w:val="14"/>
            <w:pageBreakBefore w:val="0"/>
            <w:widowControl w:val="0"/>
            <w:tabs>
              <w:tab w:val="right" w:leader="dot" w:pos="9026"/>
              <w:tab w:val="clear" w:pos="1260"/>
              <w:tab w:val="clear" w:pos="8630"/>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_Toc6450 </w:instrText>
          </w:r>
          <w:r>
            <w:rPr>
              <w:rFonts w:hint="eastAsia"/>
              <w:highlight w:val="none"/>
            </w:rPr>
            <w:fldChar w:fldCharType="separate"/>
          </w:r>
          <w:r>
            <w:rPr>
              <w:rFonts w:hint="eastAsia"/>
              <w:highlight w:val="none"/>
            </w:rPr>
            <w:t>3.响应费用</w:t>
          </w:r>
          <w:r>
            <w:rPr>
              <w:highlight w:val="none"/>
            </w:rPr>
            <w:tab/>
          </w:r>
          <w:r>
            <w:rPr>
              <w:highlight w:val="none"/>
            </w:rPr>
            <w:fldChar w:fldCharType="begin"/>
          </w:r>
          <w:r>
            <w:rPr>
              <w:highlight w:val="none"/>
            </w:rPr>
            <w:instrText xml:space="preserve"> PAGEREF _Toc6450 \h </w:instrText>
          </w:r>
          <w:r>
            <w:rPr>
              <w:highlight w:val="none"/>
            </w:rPr>
            <w:fldChar w:fldCharType="separate"/>
          </w:r>
          <w:r>
            <w:rPr>
              <w:highlight w:val="none"/>
            </w:rPr>
            <w:t>1</w:t>
          </w:r>
          <w:r>
            <w:rPr>
              <w:highlight w:val="none"/>
            </w:rPr>
            <w:fldChar w:fldCharType="end"/>
          </w:r>
          <w:r>
            <w:rPr>
              <w:rFonts w:hint="eastAsia"/>
              <w:highlight w:val="none"/>
            </w:rPr>
            <w:fldChar w:fldCharType="end"/>
          </w:r>
        </w:p>
        <w:p w14:paraId="762B7AE9">
          <w:pPr>
            <w:pStyle w:val="14"/>
            <w:pageBreakBefore w:val="0"/>
            <w:widowControl w:val="0"/>
            <w:tabs>
              <w:tab w:val="right" w:leader="dot" w:pos="9026"/>
              <w:tab w:val="clear" w:pos="1260"/>
              <w:tab w:val="clear" w:pos="8630"/>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_Toc26619 </w:instrText>
          </w:r>
          <w:r>
            <w:rPr>
              <w:rFonts w:hint="eastAsia"/>
              <w:highlight w:val="none"/>
            </w:rPr>
            <w:fldChar w:fldCharType="separate"/>
          </w:r>
          <w:r>
            <w:rPr>
              <w:rFonts w:hint="eastAsia"/>
              <w:highlight w:val="none"/>
            </w:rPr>
            <w:t>4.适用法律</w:t>
          </w:r>
          <w:r>
            <w:rPr>
              <w:highlight w:val="none"/>
            </w:rPr>
            <w:tab/>
          </w:r>
          <w:r>
            <w:rPr>
              <w:highlight w:val="none"/>
            </w:rPr>
            <w:fldChar w:fldCharType="begin"/>
          </w:r>
          <w:r>
            <w:rPr>
              <w:highlight w:val="none"/>
            </w:rPr>
            <w:instrText xml:space="preserve"> PAGEREF _Toc26619 \h </w:instrText>
          </w:r>
          <w:r>
            <w:rPr>
              <w:highlight w:val="none"/>
            </w:rPr>
            <w:fldChar w:fldCharType="separate"/>
          </w:r>
          <w:r>
            <w:rPr>
              <w:highlight w:val="none"/>
            </w:rPr>
            <w:t>2</w:t>
          </w:r>
          <w:r>
            <w:rPr>
              <w:highlight w:val="none"/>
            </w:rPr>
            <w:fldChar w:fldCharType="end"/>
          </w:r>
          <w:r>
            <w:rPr>
              <w:rFonts w:hint="eastAsia"/>
              <w:highlight w:val="none"/>
            </w:rPr>
            <w:fldChar w:fldCharType="end"/>
          </w:r>
        </w:p>
        <w:p w14:paraId="3974E043">
          <w:pPr>
            <w:pStyle w:val="23"/>
            <w:pageBreakBefore w:val="0"/>
            <w:widowControl w:val="0"/>
            <w:tabs>
              <w:tab w:val="right" w:leader="dot" w:pos="9026"/>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_Toc13649 </w:instrText>
          </w:r>
          <w:r>
            <w:rPr>
              <w:rFonts w:hint="eastAsia"/>
              <w:highlight w:val="none"/>
            </w:rPr>
            <w:fldChar w:fldCharType="separate"/>
          </w:r>
          <w:r>
            <w:rPr>
              <w:rFonts w:hint="eastAsia"/>
              <w:highlight w:val="none"/>
            </w:rPr>
            <w:t>二、竞争性磋商文件</w:t>
          </w:r>
          <w:r>
            <w:rPr>
              <w:highlight w:val="none"/>
            </w:rPr>
            <w:tab/>
          </w:r>
          <w:r>
            <w:rPr>
              <w:highlight w:val="none"/>
            </w:rPr>
            <w:fldChar w:fldCharType="begin"/>
          </w:r>
          <w:r>
            <w:rPr>
              <w:highlight w:val="none"/>
            </w:rPr>
            <w:instrText xml:space="preserve"> PAGEREF _Toc13649 \h </w:instrText>
          </w:r>
          <w:r>
            <w:rPr>
              <w:highlight w:val="none"/>
            </w:rPr>
            <w:fldChar w:fldCharType="separate"/>
          </w:r>
          <w:r>
            <w:rPr>
              <w:highlight w:val="none"/>
            </w:rPr>
            <w:t>2</w:t>
          </w:r>
          <w:r>
            <w:rPr>
              <w:highlight w:val="none"/>
            </w:rPr>
            <w:fldChar w:fldCharType="end"/>
          </w:r>
          <w:r>
            <w:rPr>
              <w:rFonts w:hint="eastAsia"/>
              <w:highlight w:val="none"/>
            </w:rPr>
            <w:fldChar w:fldCharType="end"/>
          </w:r>
        </w:p>
        <w:p w14:paraId="77DC889A">
          <w:pPr>
            <w:pStyle w:val="14"/>
            <w:pageBreakBefore w:val="0"/>
            <w:widowControl w:val="0"/>
            <w:tabs>
              <w:tab w:val="right" w:leader="dot" w:pos="9026"/>
              <w:tab w:val="clear" w:pos="1260"/>
              <w:tab w:val="clear" w:pos="8630"/>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_Toc28170 </w:instrText>
          </w:r>
          <w:r>
            <w:rPr>
              <w:rFonts w:hint="eastAsia"/>
              <w:highlight w:val="none"/>
            </w:rPr>
            <w:fldChar w:fldCharType="separate"/>
          </w:r>
          <w:r>
            <w:rPr>
              <w:rFonts w:hint="eastAsia"/>
              <w:highlight w:val="none"/>
            </w:rPr>
            <w:t>5.竞争性磋商文件构成</w:t>
          </w:r>
          <w:r>
            <w:rPr>
              <w:highlight w:val="none"/>
            </w:rPr>
            <w:tab/>
          </w:r>
          <w:r>
            <w:rPr>
              <w:highlight w:val="none"/>
            </w:rPr>
            <w:fldChar w:fldCharType="begin"/>
          </w:r>
          <w:r>
            <w:rPr>
              <w:highlight w:val="none"/>
            </w:rPr>
            <w:instrText xml:space="preserve"> PAGEREF _Toc28170 \h </w:instrText>
          </w:r>
          <w:r>
            <w:rPr>
              <w:highlight w:val="none"/>
            </w:rPr>
            <w:fldChar w:fldCharType="separate"/>
          </w:r>
          <w:r>
            <w:rPr>
              <w:highlight w:val="none"/>
            </w:rPr>
            <w:t>2</w:t>
          </w:r>
          <w:r>
            <w:rPr>
              <w:highlight w:val="none"/>
            </w:rPr>
            <w:fldChar w:fldCharType="end"/>
          </w:r>
          <w:r>
            <w:rPr>
              <w:rFonts w:hint="eastAsia"/>
              <w:highlight w:val="none"/>
            </w:rPr>
            <w:fldChar w:fldCharType="end"/>
          </w:r>
        </w:p>
        <w:p w14:paraId="24E0187D">
          <w:pPr>
            <w:pStyle w:val="14"/>
            <w:pageBreakBefore w:val="0"/>
            <w:widowControl w:val="0"/>
            <w:tabs>
              <w:tab w:val="right" w:leader="dot" w:pos="9026"/>
              <w:tab w:val="clear" w:pos="1260"/>
              <w:tab w:val="clear" w:pos="8630"/>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_Toc28899 </w:instrText>
          </w:r>
          <w:r>
            <w:rPr>
              <w:rFonts w:hint="eastAsia"/>
              <w:highlight w:val="none"/>
            </w:rPr>
            <w:fldChar w:fldCharType="separate"/>
          </w:r>
          <w:r>
            <w:rPr>
              <w:rFonts w:hint="eastAsia"/>
              <w:highlight w:val="none"/>
            </w:rPr>
            <w:t>6.竞争性磋商文件的澄清与修改</w:t>
          </w:r>
          <w:r>
            <w:rPr>
              <w:highlight w:val="none"/>
            </w:rPr>
            <w:tab/>
          </w:r>
          <w:r>
            <w:rPr>
              <w:highlight w:val="none"/>
            </w:rPr>
            <w:fldChar w:fldCharType="begin"/>
          </w:r>
          <w:r>
            <w:rPr>
              <w:highlight w:val="none"/>
            </w:rPr>
            <w:instrText xml:space="preserve"> PAGEREF _Toc28899 \h </w:instrText>
          </w:r>
          <w:r>
            <w:rPr>
              <w:highlight w:val="none"/>
            </w:rPr>
            <w:fldChar w:fldCharType="separate"/>
          </w:r>
          <w:r>
            <w:rPr>
              <w:highlight w:val="none"/>
            </w:rPr>
            <w:t>3</w:t>
          </w:r>
          <w:r>
            <w:rPr>
              <w:highlight w:val="none"/>
            </w:rPr>
            <w:fldChar w:fldCharType="end"/>
          </w:r>
          <w:r>
            <w:rPr>
              <w:rFonts w:hint="eastAsia"/>
              <w:highlight w:val="none"/>
            </w:rPr>
            <w:fldChar w:fldCharType="end"/>
          </w:r>
        </w:p>
        <w:p w14:paraId="39A4D040">
          <w:pPr>
            <w:pStyle w:val="14"/>
            <w:pageBreakBefore w:val="0"/>
            <w:widowControl w:val="0"/>
            <w:tabs>
              <w:tab w:val="right" w:leader="dot" w:pos="9026"/>
              <w:tab w:val="clear" w:pos="1260"/>
              <w:tab w:val="clear" w:pos="8630"/>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_Toc29634 </w:instrText>
          </w:r>
          <w:r>
            <w:rPr>
              <w:rFonts w:hint="eastAsia"/>
              <w:highlight w:val="none"/>
            </w:rPr>
            <w:fldChar w:fldCharType="separate"/>
          </w:r>
          <w:r>
            <w:rPr>
              <w:rFonts w:hint="eastAsia"/>
              <w:highlight w:val="none"/>
            </w:rPr>
            <w:t>7.提交响应文件截止时间的顺延</w:t>
          </w:r>
          <w:r>
            <w:rPr>
              <w:highlight w:val="none"/>
            </w:rPr>
            <w:tab/>
          </w:r>
          <w:r>
            <w:rPr>
              <w:highlight w:val="none"/>
            </w:rPr>
            <w:fldChar w:fldCharType="begin"/>
          </w:r>
          <w:r>
            <w:rPr>
              <w:highlight w:val="none"/>
            </w:rPr>
            <w:instrText xml:space="preserve"> PAGEREF _Toc29634 \h </w:instrText>
          </w:r>
          <w:r>
            <w:rPr>
              <w:highlight w:val="none"/>
            </w:rPr>
            <w:fldChar w:fldCharType="separate"/>
          </w:r>
          <w:r>
            <w:rPr>
              <w:highlight w:val="none"/>
            </w:rPr>
            <w:t>3</w:t>
          </w:r>
          <w:r>
            <w:rPr>
              <w:highlight w:val="none"/>
            </w:rPr>
            <w:fldChar w:fldCharType="end"/>
          </w:r>
          <w:r>
            <w:rPr>
              <w:rFonts w:hint="eastAsia"/>
              <w:highlight w:val="none"/>
            </w:rPr>
            <w:fldChar w:fldCharType="end"/>
          </w:r>
        </w:p>
        <w:p w14:paraId="46C346A0">
          <w:pPr>
            <w:pStyle w:val="23"/>
            <w:pageBreakBefore w:val="0"/>
            <w:widowControl w:val="0"/>
            <w:tabs>
              <w:tab w:val="right" w:leader="dot" w:pos="9026"/>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_Toc20885 </w:instrText>
          </w:r>
          <w:r>
            <w:rPr>
              <w:rFonts w:hint="eastAsia"/>
              <w:highlight w:val="none"/>
            </w:rPr>
            <w:fldChar w:fldCharType="separate"/>
          </w:r>
          <w:r>
            <w:rPr>
              <w:rFonts w:hint="eastAsia"/>
              <w:highlight w:val="none"/>
            </w:rPr>
            <w:t>三、响应文件的编制</w:t>
          </w:r>
          <w:r>
            <w:rPr>
              <w:highlight w:val="none"/>
            </w:rPr>
            <w:tab/>
          </w:r>
          <w:r>
            <w:rPr>
              <w:highlight w:val="none"/>
            </w:rPr>
            <w:fldChar w:fldCharType="begin"/>
          </w:r>
          <w:r>
            <w:rPr>
              <w:highlight w:val="none"/>
            </w:rPr>
            <w:instrText xml:space="preserve"> PAGEREF _Toc20885 \h </w:instrText>
          </w:r>
          <w:r>
            <w:rPr>
              <w:highlight w:val="none"/>
            </w:rPr>
            <w:fldChar w:fldCharType="separate"/>
          </w:r>
          <w:r>
            <w:rPr>
              <w:highlight w:val="none"/>
            </w:rPr>
            <w:t>3</w:t>
          </w:r>
          <w:r>
            <w:rPr>
              <w:highlight w:val="none"/>
            </w:rPr>
            <w:fldChar w:fldCharType="end"/>
          </w:r>
          <w:r>
            <w:rPr>
              <w:rFonts w:hint="eastAsia"/>
              <w:highlight w:val="none"/>
            </w:rPr>
            <w:fldChar w:fldCharType="end"/>
          </w:r>
        </w:p>
        <w:p w14:paraId="74A3CB35">
          <w:pPr>
            <w:pStyle w:val="14"/>
            <w:pageBreakBefore w:val="0"/>
            <w:widowControl w:val="0"/>
            <w:tabs>
              <w:tab w:val="right" w:leader="dot" w:pos="9026"/>
              <w:tab w:val="clear" w:pos="1260"/>
              <w:tab w:val="clear" w:pos="8630"/>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_Toc10936 </w:instrText>
          </w:r>
          <w:r>
            <w:rPr>
              <w:rFonts w:hint="eastAsia"/>
              <w:highlight w:val="none"/>
            </w:rPr>
            <w:fldChar w:fldCharType="separate"/>
          </w:r>
          <w:r>
            <w:rPr>
              <w:rFonts w:hint="eastAsia"/>
              <w:highlight w:val="none"/>
            </w:rPr>
            <w:t>8.编制要求</w:t>
          </w:r>
          <w:r>
            <w:rPr>
              <w:highlight w:val="none"/>
            </w:rPr>
            <w:tab/>
          </w:r>
          <w:r>
            <w:rPr>
              <w:highlight w:val="none"/>
            </w:rPr>
            <w:fldChar w:fldCharType="begin"/>
          </w:r>
          <w:r>
            <w:rPr>
              <w:highlight w:val="none"/>
            </w:rPr>
            <w:instrText xml:space="preserve"> PAGEREF _Toc10936 \h </w:instrText>
          </w:r>
          <w:r>
            <w:rPr>
              <w:highlight w:val="none"/>
            </w:rPr>
            <w:fldChar w:fldCharType="separate"/>
          </w:r>
          <w:r>
            <w:rPr>
              <w:highlight w:val="none"/>
            </w:rPr>
            <w:t>3</w:t>
          </w:r>
          <w:r>
            <w:rPr>
              <w:highlight w:val="none"/>
            </w:rPr>
            <w:fldChar w:fldCharType="end"/>
          </w:r>
          <w:r>
            <w:rPr>
              <w:rFonts w:hint="eastAsia"/>
              <w:highlight w:val="none"/>
            </w:rPr>
            <w:fldChar w:fldCharType="end"/>
          </w:r>
        </w:p>
        <w:p w14:paraId="5DEC4901">
          <w:pPr>
            <w:pStyle w:val="14"/>
            <w:pageBreakBefore w:val="0"/>
            <w:widowControl w:val="0"/>
            <w:tabs>
              <w:tab w:val="right" w:leader="dot" w:pos="9026"/>
              <w:tab w:val="clear" w:pos="1260"/>
              <w:tab w:val="clear" w:pos="8630"/>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_Toc5542 </w:instrText>
          </w:r>
          <w:r>
            <w:rPr>
              <w:rFonts w:hint="eastAsia"/>
              <w:highlight w:val="none"/>
            </w:rPr>
            <w:fldChar w:fldCharType="separate"/>
          </w:r>
          <w:r>
            <w:rPr>
              <w:rFonts w:hint="eastAsia"/>
              <w:highlight w:val="none"/>
            </w:rPr>
            <w:t>9.响应范围及响应文件中标准和计量单位的使用</w:t>
          </w:r>
          <w:r>
            <w:rPr>
              <w:highlight w:val="none"/>
            </w:rPr>
            <w:tab/>
          </w:r>
          <w:r>
            <w:rPr>
              <w:highlight w:val="none"/>
            </w:rPr>
            <w:fldChar w:fldCharType="begin"/>
          </w:r>
          <w:r>
            <w:rPr>
              <w:highlight w:val="none"/>
            </w:rPr>
            <w:instrText xml:space="preserve"> PAGEREF _Toc5542 \h </w:instrText>
          </w:r>
          <w:r>
            <w:rPr>
              <w:highlight w:val="none"/>
            </w:rPr>
            <w:fldChar w:fldCharType="separate"/>
          </w:r>
          <w:r>
            <w:rPr>
              <w:highlight w:val="none"/>
            </w:rPr>
            <w:t>4</w:t>
          </w:r>
          <w:r>
            <w:rPr>
              <w:highlight w:val="none"/>
            </w:rPr>
            <w:fldChar w:fldCharType="end"/>
          </w:r>
          <w:r>
            <w:rPr>
              <w:rFonts w:hint="eastAsia"/>
              <w:highlight w:val="none"/>
            </w:rPr>
            <w:fldChar w:fldCharType="end"/>
          </w:r>
        </w:p>
        <w:p w14:paraId="36D52953">
          <w:pPr>
            <w:pStyle w:val="14"/>
            <w:pageBreakBefore w:val="0"/>
            <w:widowControl w:val="0"/>
            <w:tabs>
              <w:tab w:val="right" w:leader="dot" w:pos="9026"/>
              <w:tab w:val="clear" w:pos="1260"/>
              <w:tab w:val="clear" w:pos="8630"/>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_Toc18250 </w:instrText>
          </w:r>
          <w:r>
            <w:rPr>
              <w:rFonts w:hint="eastAsia"/>
              <w:highlight w:val="none"/>
            </w:rPr>
            <w:fldChar w:fldCharType="separate"/>
          </w:r>
          <w:r>
            <w:rPr>
              <w:rFonts w:hint="eastAsia"/>
              <w:highlight w:val="none"/>
            </w:rPr>
            <w:t>10.响应文件构成</w:t>
          </w:r>
          <w:r>
            <w:rPr>
              <w:highlight w:val="none"/>
            </w:rPr>
            <w:tab/>
          </w:r>
          <w:r>
            <w:rPr>
              <w:highlight w:val="none"/>
            </w:rPr>
            <w:fldChar w:fldCharType="begin"/>
          </w:r>
          <w:r>
            <w:rPr>
              <w:highlight w:val="none"/>
            </w:rPr>
            <w:instrText xml:space="preserve"> PAGEREF _Toc18250 \h </w:instrText>
          </w:r>
          <w:r>
            <w:rPr>
              <w:highlight w:val="none"/>
            </w:rPr>
            <w:fldChar w:fldCharType="separate"/>
          </w:r>
          <w:r>
            <w:rPr>
              <w:highlight w:val="none"/>
            </w:rPr>
            <w:t>4</w:t>
          </w:r>
          <w:r>
            <w:rPr>
              <w:highlight w:val="none"/>
            </w:rPr>
            <w:fldChar w:fldCharType="end"/>
          </w:r>
          <w:r>
            <w:rPr>
              <w:rFonts w:hint="eastAsia"/>
              <w:highlight w:val="none"/>
            </w:rPr>
            <w:fldChar w:fldCharType="end"/>
          </w:r>
        </w:p>
        <w:p w14:paraId="4C46F5A2">
          <w:pPr>
            <w:pStyle w:val="14"/>
            <w:pageBreakBefore w:val="0"/>
            <w:widowControl w:val="0"/>
            <w:tabs>
              <w:tab w:val="right" w:leader="dot" w:pos="9026"/>
              <w:tab w:val="clear" w:pos="1260"/>
              <w:tab w:val="clear" w:pos="8630"/>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_Toc6858 </w:instrText>
          </w:r>
          <w:r>
            <w:rPr>
              <w:rFonts w:hint="eastAsia"/>
              <w:highlight w:val="none"/>
            </w:rPr>
            <w:fldChar w:fldCharType="separate"/>
          </w:r>
          <w:r>
            <w:rPr>
              <w:rFonts w:hint="eastAsia"/>
              <w:highlight w:val="none"/>
            </w:rPr>
            <w:t>11.报价</w:t>
          </w:r>
          <w:r>
            <w:rPr>
              <w:highlight w:val="none"/>
            </w:rPr>
            <w:tab/>
          </w:r>
          <w:r>
            <w:rPr>
              <w:highlight w:val="none"/>
            </w:rPr>
            <w:fldChar w:fldCharType="begin"/>
          </w:r>
          <w:r>
            <w:rPr>
              <w:highlight w:val="none"/>
            </w:rPr>
            <w:instrText xml:space="preserve"> PAGEREF _Toc6858 \h </w:instrText>
          </w:r>
          <w:r>
            <w:rPr>
              <w:highlight w:val="none"/>
            </w:rPr>
            <w:fldChar w:fldCharType="separate"/>
          </w:r>
          <w:r>
            <w:rPr>
              <w:highlight w:val="none"/>
            </w:rPr>
            <w:t>4</w:t>
          </w:r>
          <w:r>
            <w:rPr>
              <w:highlight w:val="none"/>
            </w:rPr>
            <w:fldChar w:fldCharType="end"/>
          </w:r>
          <w:r>
            <w:rPr>
              <w:rFonts w:hint="eastAsia"/>
              <w:highlight w:val="none"/>
            </w:rPr>
            <w:fldChar w:fldCharType="end"/>
          </w:r>
        </w:p>
        <w:p w14:paraId="7020AFE7">
          <w:pPr>
            <w:pStyle w:val="14"/>
            <w:pageBreakBefore w:val="0"/>
            <w:widowControl w:val="0"/>
            <w:tabs>
              <w:tab w:val="right" w:leader="dot" w:pos="9026"/>
              <w:tab w:val="clear" w:pos="1260"/>
              <w:tab w:val="clear" w:pos="8630"/>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_Toc26615 </w:instrText>
          </w:r>
          <w:r>
            <w:rPr>
              <w:rFonts w:hint="eastAsia"/>
              <w:highlight w:val="none"/>
            </w:rPr>
            <w:fldChar w:fldCharType="separate"/>
          </w:r>
          <w:r>
            <w:rPr>
              <w:rFonts w:hint="eastAsia"/>
              <w:highlight w:val="none"/>
            </w:rPr>
            <w:t>12.磋商保证金</w:t>
          </w:r>
          <w:r>
            <w:rPr>
              <w:highlight w:val="none"/>
            </w:rPr>
            <w:tab/>
          </w:r>
          <w:r>
            <w:rPr>
              <w:highlight w:val="none"/>
            </w:rPr>
            <w:fldChar w:fldCharType="begin"/>
          </w:r>
          <w:r>
            <w:rPr>
              <w:highlight w:val="none"/>
            </w:rPr>
            <w:instrText xml:space="preserve"> PAGEREF _Toc26615 \h </w:instrText>
          </w:r>
          <w:r>
            <w:rPr>
              <w:highlight w:val="none"/>
            </w:rPr>
            <w:fldChar w:fldCharType="separate"/>
          </w:r>
          <w:r>
            <w:rPr>
              <w:highlight w:val="none"/>
            </w:rPr>
            <w:t>5</w:t>
          </w:r>
          <w:r>
            <w:rPr>
              <w:highlight w:val="none"/>
            </w:rPr>
            <w:fldChar w:fldCharType="end"/>
          </w:r>
          <w:r>
            <w:rPr>
              <w:rFonts w:hint="eastAsia"/>
              <w:highlight w:val="none"/>
            </w:rPr>
            <w:fldChar w:fldCharType="end"/>
          </w:r>
        </w:p>
        <w:p w14:paraId="4314593B">
          <w:pPr>
            <w:pStyle w:val="14"/>
            <w:pageBreakBefore w:val="0"/>
            <w:widowControl w:val="0"/>
            <w:tabs>
              <w:tab w:val="right" w:leader="dot" w:pos="9026"/>
              <w:tab w:val="clear" w:pos="1260"/>
              <w:tab w:val="clear" w:pos="8630"/>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_Toc26262 </w:instrText>
          </w:r>
          <w:r>
            <w:rPr>
              <w:rFonts w:hint="eastAsia"/>
              <w:highlight w:val="none"/>
            </w:rPr>
            <w:fldChar w:fldCharType="separate"/>
          </w:r>
          <w:r>
            <w:rPr>
              <w:rFonts w:hint="eastAsia"/>
              <w:highlight w:val="none"/>
            </w:rPr>
            <w:t>13.响应有效期</w:t>
          </w:r>
          <w:r>
            <w:rPr>
              <w:highlight w:val="none"/>
            </w:rPr>
            <w:tab/>
          </w:r>
          <w:r>
            <w:rPr>
              <w:highlight w:val="none"/>
            </w:rPr>
            <w:fldChar w:fldCharType="begin"/>
          </w:r>
          <w:r>
            <w:rPr>
              <w:highlight w:val="none"/>
            </w:rPr>
            <w:instrText xml:space="preserve"> PAGEREF _Toc26262 \h </w:instrText>
          </w:r>
          <w:r>
            <w:rPr>
              <w:highlight w:val="none"/>
            </w:rPr>
            <w:fldChar w:fldCharType="separate"/>
          </w:r>
          <w:r>
            <w:rPr>
              <w:highlight w:val="none"/>
            </w:rPr>
            <w:t>5</w:t>
          </w:r>
          <w:r>
            <w:rPr>
              <w:highlight w:val="none"/>
            </w:rPr>
            <w:fldChar w:fldCharType="end"/>
          </w:r>
          <w:r>
            <w:rPr>
              <w:rFonts w:hint="eastAsia"/>
              <w:highlight w:val="none"/>
            </w:rPr>
            <w:fldChar w:fldCharType="end"/>
          </w:r>
        </w:p>
        <w:p w14:paraId="2BC08438">
          <w:pPr>
            <w:pStyle w:val="14"/>
            <w:pageBreakBefore w:val="0"/>
            <w:widowControl w:val="0"/>
            <w:tabs>
              <w:tab w:val="right" w:leader="dot" w:pos="9026"/>
              <w:tab w:val="clear" w:pos="1260"/>
              <w:tab w:val="clear" w:pos="8630"/>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_Toc16562 </w:instrText>
          </w:r>
          <w:r>
            <w:rPr>
              <w:rFonts w:hint="eastAsia"/>
              <w:highlight w:val="none"/>
            </w:rPr>
            <w:fldChar w:fldCharType="separate"/>
          </w:r>
          <w:r>
            <w:rPr>
              <w:rFonts w:hint="eastAsia"/>
              <w:highlight w:val="none"/>
            </w:rPr>
            <w:t>14.响应文件的签字、盖章及规定</w:t>
          </w:r>
          <w:r>
            <w:rPr>
              <w:highlight w:val="none"/>
            </w:rPr>
            <w:tab/>
          </w:r>
          <w:r>
            <w:rPr>
              <w:highlight w:val="none"/>
            </w:rPr>
            <w:fldChar w:fldCharType="begin"/>
          </w:r>
          <w:r>
            <w:rPr>
              <w:highlight w:val="none"/>
            </w:rPr>
            <w:instrText xml:space="preserve"> PAGEREF _Toc16562 \h </w:instrText>
          </w:r>
          <w:r>
            <w:rPr>
              <w:highlight w:val="none"/>
            </w:rPr>
            <w:fldChar w:fldCharType="separate"/>
          </w:r>
          <w:r>
            <w:rPr>
              <w:highlight w:val="none"/>
            </w:rPr>
            <w:t>6</w:t>
          </w:r>
          <w:r>
            <w:rPr>
              <w:highlight w:val="none"/>
            </w:rPr>
            <w:fldChar w:fldCharType="end"/>
          </w:r>
          <w:r>
            <w:rPr>
              <w:rFonts w:hint="eastAsia"/>
              <w:highlight w:val="none"/>
            </w:rPr>
            <w:fldChar w:fldCharType="end"/>
          </w:r>
        </w:p>
        <w:p w14:paraId="5FC7CA2D">
          <w:pPr>
            <w:pStyle w:val="23"/>
            <w:pageBreakBefore w:val="0"/>
            <w:widowControl w:val="0"/>
            <w:tabs>
              <w:tab w:val="right" w:leader="dot" w:pos="9026"/>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_Toc22306 </w:instrText>
          </w:r>
          <w:r>
            <w:rPr>
              <w:rFonts w:hint="eastAsia"/>
              <w:highlight w:val="none"/>
            </w:rPr>
            <w:fldChar w:fldCharType="separate"/>
          </w:r>
          <w:r>
            <w:rPr>
              <w:rFonts w:hint="eastAsia"/>
              <w:highlight w:val="none"/>
            </w:rPr>
            <w:t>四、响应文件的递交</w:t>
          </w:r>
          <w:r>
            <w:rPr>
              <w:highlight w:val="none"/>
            </w:rPr>
            <w:tab/>
          </w:r>
          <w:r>
            <w:rPr>
              <w:highlight w:val="none"/>
            </w:rPr>
            <w:fldChar w:fldCharType="begin"/>
          </w:r>
          <w:r>
            <w:rPr>
              <w:highlight w:val="none"/>
            </w:rPr>
            <w:instrText xml:space="preserve"> PAGEREF _Toc22306 \h </w:instrText>
          </w:r>
          <w:r>
            <w:rPr>
              <w:highlight w:val="none"/>
            </w:rPr>
            <w:fldChar w:fldCharType="separate"/>
          </w:r>
          <w:r>
            <w:rPr>
              <w:highlight w:val="none"/>
            </w:rPr>
            <w:t>6</w:t>
          </w:r>
          <w:r>
            <w:rPr>
              <w:highlight w:val="none"/>
            </w:rPr>
            <w:fldChar w:fldCharType="end"/>
          </w:r>
          <w:r>
            <w:rPr>
              <w:rFonts w:hint="eastAsia"/>
              <w:highlight w:val="none"/>
            </w:rPr>
            <w:fldChar w:fldCharType="end"/>
          </w:r>
        </w:p>
        <w:p w14:paraId="6A05167D">
          <w:pPr>
            <w:pStyle w:val="14"/>
            <w:pageBreakBefore w:val="0"/>
            <w:widowControl w:val="0"/>
            <w:tabs>
              <w:tab w:val="right" w:leader="dot" w:pos="9026"/>
              <w:tab w:val="clear" w:pos="1260"/>
              <w:tab w:val="clear" w:pos="8630"/>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_Toc29051 </w:instrText>
          </w:r>
          <w:r>
            <w:rPr>
              <w:rFonts w:hint="eastAsia"/>
              <w:highlight w:val="none"/>
            </w:rPr>
            <w:fldChar w:fldCharType="separate"/>
          </w:r>
          <w:r>
            <w:rPr>
              <w:rFonts w:hint="eastAsia"/>
              <w:highlight w:val="none"/>
            </w:rPr>
            <w:t>15.响应文件的递交</w:t>
          </w:r>
          <w:r>
            <w:rPr>
              <w:highlight w:val="none"/>
            </w:rPr>
            <w:tab/>
          </w:r>
          <w:r>
            <w:rPr>
              <w:highlight w:val="none"/>
            </w:rPr>
            <w:fldChar w:fldCharType="begin"/>
          </w:r>
          <w:r>
            <w:rPr>
              <w:highlight w:val="none"/>
            </w:rPr>
            <w:instrText xml:space="preserve"> PAGEREF _Toc29051 \h </w:instrText>
          </w:r>
          <w:r>
            <w:rPr>
              <w:highlight w:val="none"/>
            </w:rPr>
            <w:fldChar w:fldCharType="separate"/>
          </w:r>
          <w:r>
            <w:rPr>
              <w:highlight w:val="none"/>
            </w:rPr>
            <w:t>6</w:t>
          </w:r>
          <w:r>
            <w:rPr>
              <w:highlight w:val="none"/>
            </w:rPr>
            <w:fldChar w:fldCharType="end"/>
          </w:r>
          <w:r>
            <w:rPr>
              <w:rFonts w:hint="eastAsia"/>
              <w:highlight w:val="none"/>
            </w:rPr>
            <w:fldChar w:fldCharType="end"/>
          </w:r>
        </w:p>
        <w:p w14:paraId="130F08F1">
          <w:pPr>
            <w:pStyle w:val="14"/>
            <w:pageBreakBefore w:val="0"/>
            <w:widowControl w:val="0"/>
            <w:tabs>
              <w:tab w:val="right" w:leader="dot" w:pos="9026"/>
              <w:tab w:val="clear" w:pos="1260"/>
              <w:tab w:val="clear" w:pos="8630"/>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_Toc26019 </w:instrText>
          </w:r>
          <w:r>
            <w:rPr>
              <w:rFonts w:hint="eastAsia"/>
              <w:highlight w:val="none"/>
            </w:rPr>
            <w:fldChar w:fldCharType="separate"/>
          </w:r>
          <w:r>
            <w:rPr>
              <w:rFonts w:hint="eastAsia"/>
              <w:highlight w:val="none"/>
            </w:rPr>
            <w:t>16.递交响应文件截止时间</w:t>
          </w:r>
          <w:r>
            <w:rPr>
              <w:highlight w:val="none"/>
            </w:rPr>
            <w:tab/>
          </w:r>
          <w:r>
            <w:rPr>
              <w:highlight w:val="none"/>
            </w:rPr>
            <w:fldChar w:fldCharType="begin"/>
          </w:r>
          <w:r>
            <w:rPr>
              <w:highlight w:val="none"/>
            </w:rPr>
            <w:instrText xml:space="preserve"> PAGEREF _Toc26019 \h </w:instrText>
          </w:r>
          <w:r>
            <w:rPr>
              <w:highlight w:val="none"/>
            </w:rPr>
            <w:fldChar w:fldCharType="separate"/>
          </w:r>
          <w:r>
            <w:rPr>
              <w:highlight w:val="none"/>
            </w:rPr>
            <w:t>6</w:t>
          </w:r>
          <w:r>
            <w:rPr>
              <w:highlight w:val="none"/>
            </w:rPr>
            <w:fldChar w:fldCharType="end"/>
          </w:r>
          <w:r>
            <w:rPr>
              <w:rFonts w:hint="eastAsia"/>
              <w:highlight w:val="none"/>
            </w:rPr>
            <w:fldChar w:fldCharType="end"/>
          </w:r>
        </w:p>
        <w:p w14:paraId="7FB0AC16">
          <w:pPr>
            <w:pStyle w:val="14"/>
            <w:pageBreakBefore w:val="0"/>
            <w:widowControl w:val="0"/>
            <w:tabs>
              <w:tab w:val="right" w:leader="dot" w:pos="9026"/>
              <w:tab w:val="clear" w:pos="1260"/>
              <w:tab w:val="clear" w:pos="8630"/>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_Toc27393 </w:instrText>
          </w:r>
          <w:r>
            <w:rPr>
              <w:rFonts w:hint="eastAsia"/>
              <w:highlight w:val="none"/>
            </w:rPr>
            <w:fldChar w:fldCharType="separate"/>
          </w:r>
          <w:r>
            <w:rPr>
              <w:rFonts w:hint="eastAsia"/>
              <w:highlight w:val="none"/>
            </w:rPr>
            <w:t>17.响应文件的接收、修改与撤回</w:t>
          </w:r>
          <w:r>
            <w:rPr>
              <w:highlight w:val="none"/>
            </w:rPr>
            <w:tab/>
          </w:r>
          <w:r>
            <w:rPr>
              <w:highlight w:val="none"/>
            </w:rPr>
            <w:fldChar w:fldCharType="begin"/>
          </w:r>
          <w:r>
            <w:rPr>
              <w:highlight w:val="none"/>
            </w:rPr>
            <w:instrText xml:space="preserve"> PAGEREF _Toc27393 \h </w:instrText>
          </w:r>
          <w:r>
            <w:rPr>
              <w:highlight w:val="none"/>
            </w:rPr>
            <w:fldChar w:fldCharType="separate"/>
          </w:r>
          <w:r>
            <w:rPr>
              <w:highlight w:val="none"/>
            </w:rPr>
            <w:t>7</w:t>
          </w:r>
          <w:r>
            <w:rPr>
              <w:highlight w:val="none"/>
            </w:rPr>
            <w:fldChar w:fldCharType="end"/>
          </w:r>
          <w:r>
            <w:rPr>
              <w:rFonts w:hint="eastAsia"/>
              <w:highlight w:val="none"/>
            </w:rPr>
            <w:fldChar w:fldCharType="end"/>
          </w:r>
        </w:p>
        <w:p w14:paraId="47406ABA">
          <w:pPr>
            <w:pStyle w:val="23"/>
            <w:pageBreakBefore w:val="0"/>
            <w:widowControl w:val="0"/>
            <w:tabs>
              <w:tab w:val="right" w:leader="dot" w:pos="9026"/>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_Toc29467 </w:instrText>
          </w:r>
          <w:r>
            <w:rPr>
              <w:rFonts w:hint="eastAsia"/>
              <w:highlight w:val="none"/>
            </w:rPr>
            <w:fldChar w:fldCharType="separate"/>
          </w:r>
          <w:r>
            <w:rPr>
              <w:rFonts w:hint="eastAsia"/>
              <w:highlight w:val="none"/>
            </w:rPr>
            <w:t>五、磋商</w:t>
          </w:r>
          <w:r>
            <w:rPr>
              <w:highlight w:val="none"/>
            </w:rPr>
            <w:tab/>
          </w:r>
          <w:r>
            <w:rPr>
              <w:highlight w:val="none"/>
            </w:rPr>
            <w:fldChar w:fldCharType="begin"/>
          </w:r>
          <w:r>
            <w:rPr>
              <w:highlight w:val="none"/>
            </w:rPr>
            <w:instrText xml:space="preserve"> PAGEREF _Toc29467 \h </w:instrText>
          </w:r>
          <w:r>
            <w:rPr>
              <w:highlight w:val="none"/>
            </w:rPr>
            <w:fldChar w:fldCharType="separate"/>
          </w:r>
          <w:r>
            <w:rPr>
              <w:highlight w:val="none"/>
            </w:rPr>
            <w:t>7</w:t>
          </w:r>
          <w:r>
            <w:rPr>
              <w:highlight w:val="none"/>
            </w:rPr>
            <w:fldChar w:fldCharType="end"/>
          </w:r>
          <w:r>
            <w:rPr>
              <w:rFonts w:hint="eastAsia"/>
              <w:highlight w:val="none"/>
            </w:rPr>
            <w:fldChar w:fldCharType="end"/>
          </w:r>
        </w:p>
        <w:p w14:paraId="06D6F20A">
          <w:pPr>
            <w:pStyle w:val="14"/>
            <w:pageBreakBefore w:val="0"/>
            <w:widowControl w:val="0"/>
            <w:tabs>
              <w:tab w:val="right" w:leader="dot" w:pos="9026"/>
              <w:tab w:val="clear" w:pos="1260"/>
              <w:tab w:val="clear" w:pos="8630"/>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_Toc6429 </w:instrText>
          </w:r>
          <w:r>
            <w:rPr>
              <w:rFonts w:hint="eastAsia"/>
              <w:highlight w:val="none"/>
            </w:rPr>
            <w:fldChar w:fldCharType="separate"/>
          </w:r>
          <w:r>
            <w:rPr>
              <w:rFonts w:hint="eastAsia"/>
              <w:highlight w:val="none"/>
            </w:rPr>
            <w:t>18.提交响应文件截止</w:t>
          </w:r>
          <w:r>
            <w:rPr>
              <w:highlight w:val="none"/>
            </w:rPr>
            <w:tab/>
          </w:r>
          <w:r>
            <w:rPr>
              <w:highlight w:val="none"/>
            </w:rPr>
            <w:fldChar w:fldCharType="begin"/>
          </w:r>
          <w:r>
            <w:rPr>
              <w:highlight w:val="none"/>
            </w:rPr>
            <w:instrText xml:space="preserve"> PAGEREF _Toc6429 \h </w:instrText>
          </w:r>
          <w:r>
            <w:rPr>
              <w:highlight w:val="none"/>
            </w:rPr>
            <w:fldChar w:fldCharType="separate"/>
          </w:r>
          <w:r>
            <w:rPr>
              <w:highlight w:val="none"/>
            </w:rPr>
            <w:t>7</w:t>
          </w:r>
          <w:r>
            <w:rPr>
              <w:highlight w:val="none"/>
            </w:rPr>
            <w:fldChar w:fldCharType="end"/>
          </w:r>
          <w:r>
            <w:rPr>
              <w:rFonts w:hint="eastAsia"/>
              <w:highlight w:val="none"/>
            </w:rPr>
            <w:fldChar w:fldCharType="end"/>
          </w:r>
        </w:p>
        <w:p w14:paraId="5C899E10">
          <w:pPr>
            <w:pStyle w:val="14"/>
            <w:pageBreakBefore w:val="0"/>
            <w:widowControl w:val="0"/>
            <w:tabs>
              <w:tab w:val="right" w:leader="dot" w:pos="9026"/>
              <w:tab w:val="clear" w:pos="1260"/>
              <w:tab w:val="clear" w:pos="8630"/>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_Toc5972 </w:instrText>
          </w:r>
          <w:r>
            <w:rPr>
              <w:rFonts w:hint="eastAsia"/>
              <w:highlight w:val="none"/>
            </w:rPr>
            <w:fldChar w:fldCharType="separate"/>
          </w:r>
          <w:r>
            <w:rPr>
              <w:rFonts w:hint="eastAsia"/>
              <w:highlight w:val="none"/>
            </w:rPr>
            <w:t>19.磋商小组</w:t>
          </w:r>
          <w:r>
            <w:rPr>
              <w:highlight w:val="none"/>
            </w:rPr>
            <w:tab/>
          </w:r>
          <w:r>
            <w:rPr>
              <w:highlight w:val="none"/>
            </w:rPr>
            <w:fldChar w:fldCharType="begin"/>
          </w:r>
          <w:r>
            <w:rPr>
              <w:highlight w:val="none"/>
            </w:rPr>
            <w:instrText xml:space="preserve"> PAGEREF _Toc5972 \h </w:instrText>
          </w:r>
          <w:r>
            <w:rPr>
              <w:highlight w:val="none"/>
            </w:rPr>
            <w:fldChar w:fldCharType="separate"/>
          </w:r>
          <w:r>
            <w:rPr>
              <w:highlight w:val="none"/>
            </w:rPr>
            <w:t>8</w:t>
          </w:r>
          <w:r>
            <w:rPr>
              <w:highlight w:val="none"/>
            </w:rPr>
            <w:fldChar w:fldCharType="end"/>
          </w:r>
          <w:r>
            <w:rPr>
              <w:rFonts w:hint="eastAsia"/>
              <w:highlight w:val="none"/>
            </w:rPr>
            <w:fldChar w:fldCharType="end"/>
          </w:r>
        </w:p>
        <w:p w14:paraId="62C2310C">
          <w:pPr>
            <w:pStyle w:val="14"/>
            <w:pageBreakBefore w:val="0"/>
            <w:widowControl w:val="0"/>
            <w:tabs>
              <w:tab w:val="right" w:leader="dot" w:pos="9026"/>
              <w:tab w:val="clear" w:pos="1260"/>
              <w:tab w:val="clear" w:pos="8630"/>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_Toc2664 </w:instrText>
          </w:r>
          <w:r>
            <w:rPr>
              <w:rFonts w:hint="eastAsia"/>
              <w:highlight w:val="none"/>
            </w:rPr>
            <w:fldChar w:fldCharType="separate"/>
          </w:r>
          <w:r>
            <w:rPr>
              <w:rFonts w:hint="eastAsia"/>
              <w:highlight w:val="none"/>
            </w:rPr>
            <w:t>20.资格审查</w:t>
          </w:r>
          <w:r>
            <w:rPr>
              <w:highlight w:val="none"/>
            </w:rPr>
            <w:tab/>
          </w:r>
          <w:r>
            <w:rPr>
              <w:highlight w:val="none"/>
            </w:rPr>
            <w:fldChar w:fldCharType="begin"/>
          </w:r>
          <w:r>
            <w:rPr>
              <w:highlight w:val="none"/>
            </w:rPr>
            <w:instrText xml:space="preserve"> PAGEREF _Toc2664 \h </w:instrText>
          </w:r>
          <w:r>
            <w:rPr>
              <w:highlight w:val="none"/>
            </w:rPr>
            <w:fldChar w:fldCharType="separate"/>
          </w:r>
          <w:r>
            <w:rPr>
              <w:highlight w:val="none"/>
            </w:rPr>
            <w:t>8</w:t>
          </w:r>
          <w:r>
            <w:rPr>
              <w:highlight w:val="none"/>
            </w:rPr>
            <w:fldChar w:fldCharType="end"/>
          </w:r>
          <w:r>
            <w:rPr>
              <w:rFonts w:hint="eastAsia"/>
              <w:highlight w:val="none"/>
            </w:rPr>
            <w:fldChar w:fldCharType="end"/>
          </w:r>
        </w:p>
        <w:p w14:paraId="42D47939">
          <w:pPr>
            <w:pStyle w:val="14"/>
            <w:pageBreakBefore w:val="0"/>
            <w:widowControl w:val="0"/>
            <w:tabs>
              <w:tab w:val="right" w:leader="dot" w:pos="9026"/>
              <w:tab w:val="clear" w:pos="1260"/>
              <w:tab w:val="clear" w:pos="8630"/>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_Toc27826 </w:instrText>
          </w:r>
          <w:r>
            <w:rPr>
              <w:rFonts w:hint="eastAsia"/>
              <w:highlight w:val="none"/>
            </w:rPr>
            <w:fldChar w:fldCharType="separate"/>
          </w:r>
          <w:r>
            <w:rPr>
              <w:rFonts w:hint="eastAsia"/>
              <w:highlight w:val="none"/>
            </w:rPr>
            <w:t>21.响应文件符合性审查与澄清</w:t>
          </w:r>
          <w:r>
            <w:rPr>
              <w:highlight w:val="none"/>
            </w:rPr>
            <w:tab/>
          </w:r>
          <w:r>
            <w:rPr>
              <w:highlight w:val="none"/>
            </w:rPr>
            <w:fldChar w:fldCharType="begin"/>
          </w:r>
          <w:r>
            <w:rPr>
              <w:highlight w:val="none"/>
            </w:rPr>
            <w:instrText xml:space="preserve"> PAGEREF _Toc27826 \h </w:instrText>
          </w:r>
          <w:r>
            <w:rPr>
              <w:highlight w:val="none"/>
            </w:rPr>
            <w:fldChar w:fldCharType="separate"/>
          </w:r>
          <w:r>
            <w:rPr>
              <w:highlight w:val="none"/>
            </w:rPr>
            <w:t>9</w:t>
          </w:r>
          <w:r>
            <w:rPr>
              <w:highlight w:val="none"/>
            </w:rPr>
            <w:fldChar w:fldCharType="end"/>
          </w:r>
          <w:r>
            <w:rPr>
              <w:rFonts w:hint="eastAsia"/>
              <w:highlight w:val="none"/>
            </w:rPr>
            <w:fldChar w:fldCharType="end"/>
          </w:r>
        </w:p>
        <w:p w14:paraId="09F2974F">
          <w:pPr>
            <w:pStyle w:val="14"/>
            <w:pageBreakBefore w:val="0"/>
            <w:widowControl w:val="0"/>
            <w:tabs>
              <w:tab w:val="right" w:leader="dot" w:pos="9026"/>
              <w:tab w:val="clear" w:pos="1260"/>
              <w:tab w:val="clear" w:pos="8630"/>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_Toc17720 </w:instrText>
          </w:r>
          <w:r>
            <w:rPr>
              <w:rFonts w:hint="eastAsia"/>
              <w:highlight w:val="none"/>
            </w:rPr>
            <w:fldChar w:fldCharType="separate"/>
          </w:r>
          <w:r>
            <w:rPr>
              <w:rFonts w:hint="eastAsia"/>
              <w:highlight w:val="none"/>
            </w:rPr>
            <w:t>22.无效响应</w:t>
          </w:r>
          <w:r>
            <w:rPr>
              <w:highlight w:val="none"/>
            </w:rPr>
            <w:tab/>
          </w:r>
          <w:r>
            <w:rPr>
              <w:highlight w:val="none"/>
            </w:rPr>
            <w:fldChar w:fldCharType="begin"/>
          </w:r>
          <w:r>
            <w:rPr>
              <w:highlight w:val="none"/>
            </w:rPr>
            <w:instrText xml:space="preserve"> PAGEREF _Toc17720 \h </w:instrText>
          </w:r>
          <w:r>
            <w:rPr>
              <w:highlight w:val="none"/>
            </w:rPr>
            <w:fldChar w:fldCharType="separate"/>
          </w:r>
          <w:r>
            <w:rPr>
              <w:highlight w:val="none"/>
            </w:rPr>
            <w:t>9</w:t>
          </w:r>
          <w:r>
            <w:rPr>
              <w:highlight w:val="none"/>
            </w:rPr>
            <w:fldChar w:fldCharType="end"/>
          </w:r>
          <w:r>
            <w:rPr>
              <w:rFonts w:hint="eastAsia"/>
              <w:highlight w:val="none"/>
            </w:rPr>
            <w:fldChar w:fldCharType="end"/>
          </w:r>
        </w:p>
        <w:p w14:paraId="3C5AFD2E">
          <w:pPr>
            <w:pStyle w:val="14"/>
            <w:pageBreakBefore w:val="0"/>
            <w:widowControl w:val="0"/>
            <w:tabs>
              <w:tab w:val="right" w:leader="dot" w:pos="9026"/>
              <w:tab w:val="clear" w:pos="1260"/>
              <w:tab w:val="clear" w:pos="8630"/>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_Toc26534 </w:instrText>
          </w:r>
          <w:r>
            <w:rPr>
              <w:rFonts w:hint="eastAsia"/>
              <w:highlight w:val="none"/>
            </w:rPr>
            <w:fldChar w:fldCharType="separate"/>
          </w:r>
          <w:r>
            <w:rPr>
              <w:rFonts w:hint="eastAsia"/>
              <w:highlight w:val="none"/>
            </w:rPr>
            <w:t>23.磋商</w:t>
          </w:r>
          <w:r>
            <w:rPr>
              <w:highlight w:val="none"/>
            </w:rPr>
            <w:tab/>
          </w:r>
          <w:r>
            <w:rPr>
              <w:highlight w:val="none"/>
            </w:rPr>
            <w:fldChar w:fldCharType="begin"/>
          </w:r>
          <w:r>
            <w:rPr>
              <w:highlight w:val="none"/>
            </w:rPr>
            <w:instrText xml:space="preserve"> PAGEREF _Toc26534 \h </w:instrText>
          </w:r>
          <w:r>
            <w:rPr>
              <w:highlight w:val="none"/>
            </w:rPr>
            <w:fldChar w:fldCharType="separate"/>
          </w:r>
          <w:r>
            <w:rPr>
              <w:highlight w:val="none"/>
            </w:rPr>
            <w:t>10</w:t>
          </w:r>
          <w:r>
            <w:rPr>
              <w:highlight w:val="none"/>
            </w:rPr>
            <w:fldChar w:fldCharType="end"/>
          </w:r>
          <w:r>
            <w:rPr>
              <w:rFonts w:hint="eastAsia"/>
              <w:highlight w:val="none"/>
            </w:rPr>
            <w:fldChar w:fldCharType="end"/>
          </w:r>
        </w:p>
        <w:p w14:paraId="081BFA7C">
          <w:pPr>
            <w:pStyle w:val="14"/>
            <w:pageBreakBefore w:val="0"/>
            <w:widowControl w:val="0"/>
            <w:tabs>
              <w:tab w:val="right" w:leader="dot" w:pos="9026"/>
              <w:tab w:val="clear" w:pos="1260"/>
              <w:tab w:val="clear" w:pos="8630"/>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_Toc15815 </w:instrText>
          </w:r>
          <w:r>
            <w:rPr>
              <w:rFonts w:hint="eastAsia"/>
              <w:highlight w:val="none"/>
            </w:rPr>
            <w:fldChar w:fldCharType="separate"/>
          </w:r>
          <w:r>
            <w:rPr>
              <w:rFonts w:hint="eastAsia"/>
              <w:highlight w:val="none"/>
            </w:rPr>
            <w:t>24.比较和评价</w:t>
          </w:r>
          <w:r>
            <w:rPr>
              <w:highlight w:val="none"/>
            </w:rPr>
            <w:tab/>
          </w:r>
          <w:r>
            <w:rPr>
              <w:highlight w:val="none"/>
            </w:rPr>
            <w:fldChar w:fldCharType="begin"/>
          </w:r>
          <w:r>
            <w:rPr>
              <w:highlight w:val="none"/>
            </w:rPr>
            <w:instrText xml:space="preserve"> PAGEREF _Toc15815 \h </w:instrText>
          </w:r>
          <w:r>
            <w:rPr>
              <w:highlight w:val="none"/>
            </w:rPr>
            <w:fldChar w:fldCharType="separate"/>
          </w:r>
          <w:r>
            <w:rPr>
              <w:highlight w:val="none"/>
            </w:rPr>
            <w:t>10</w:t>
          </w:r>
          <w:r>
            <w:rPr>
              <w:highlight w:val="none"/>
            </w:rPr>
            <w:fldChar w:fldCharType="end"/>
          </w:r>
          <w:r>
            <w:rPr>
              <w:rFonts w:hint="eastAsia"/>
              <w:highlight w:val="none"/>
            </w:rPr>
            <w:fldChar w:fldCharType="end"/>
          </w:r>
        </w:p>
        <w:p w14:paraId="1A197420">
          <w:pPr>
            <w:pStyle w:val="14"/>
            <w:pageBreakBefore w:val="0"/>
            <w:widowControl w:val="0"/>
            <w:tabs>
              <w:tab w:val="right" w:leader="dot" w:pos="9026"/>
              <w:tab w:val="clear" w:pos="1260"/>
              <w:tab w:val="clear" w:pos="8630"/>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_Toc32467 </w:instrText>
          </w:r>
          <w:r>
            <w:rPr>
              <w:rFonts w:hint="eastAsia"/>
              <w:highlight w:val="none"/>
            </w:rPr>
            <w:fldChar w:fldCharType="separate"/>
          </w:r>
          <w:r>
            <w:rPr>
              <w:rFonts w:hint="eastAsia"/>
              <w:highlight w:val="none"/>
            </w:rPr>
            <w:t>25.采购项目终止</w:t>
          </w:r>
          <w:r>
            <w:rPr>
              <w:highlight w:val="none"/>
            </w:rPr>
            <w:tab/>
          </w:r>
          <w:r>
            <w:rPr>
              <w:highlight w:val="none"/>
            </w:rPr>
            <w:fldChar w:fldCharType="begin"/>
          </w:r>
          <w:r>
            <w:rPr>
              <w:highlight w:val="none"/>
            </w:rPr>
            <w:instrText xml:space="preserve"> PAGEREF _Toc32467 \h </w:instrText>
          </w:r>
          <w:r>
            <w:rPr>
              <w:highlight w:val="none"/>
            </w:rPr>
            <w:fldChar w:fldCharType="separate"/>
          </w:r>
          <w:r>
            <w:rPr>
              <w:highlight w:val="none"/>
            </w:rPr>
            <w:t>10</w:t>
          </w:r>
          <w:r>
            <w:rPr>
              <w:highlight w:val="none"/>
            </w:rPr>
            <w:fldChar w:fldCharType="end"/>
          </w:r>
          <w:r>
            <w:rPr>
              <w:rFonts w:hint="eastAsia"/>
              <w:highlight w:val="none"/>
            </w:rPr>
            <w:fldChar w:fldCharType="end"/>
          </w:r>
        </w:p>
        <w:p w14:paraId="1872B311">
          <w:pPr>
            <w:pStyle w:val="14"/>
            <w:pageBreakBefore w:val="0"/>
            <w:widowControl w:val="0"/>
            <w:tabs>
              <w:tab w:val="right" w:leader="dot" w:pos="9026"/>
              <w:tab w:val="clear" w:pos="1260"/>
              <w:tab w:val="clear" w:pos="8630"/>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_Toc15955 </w:instrText>
          </w:r>
          <w:r>
            <w:rPr>
              <w:rFonts w:hint="eastAsia"/>
              <w:highlight w:val="none"/>
            </w:rPr>
            <w:fldChar w:fldCharType="separate"/>
          </w:r>
          <w:r>
            <w:rPr>
              <w:rFonts w:hint="eastAsia"/>
              <w:highlight w:val="none"/>
            </w:rPr>
            <w:t>26.保密要求</w:t>
          </w:r>
          <w:r>
            <w:rPr>
              <w:highlight w:val="none"/>
            </w:rPr>
            <w:tab/>
          </w:r>
          <w:r>
            <w:rPr>
              <w:highlight w:val="none"/>
            </w:rPr>
            <w:fldChar w:fldCharType="begin"/>
          </w:r>
          <w:r>
            <w:rPr>
              <w:highlight w:val="none"/>
            </w:rPr>
            <w:instrText xml:space="preserve"> PAGEREF _Toc15955 \h </w:instrText>
          </w:r>
          <w:r>
            <w:rPr>
              <w:highlight w:val="none"/>
            </w:rPr>
            <w:fldChar w:fldCharType="separate"/>
          </w:r>
          <w:r>
            <w:rPr>
              <w:highlight w:val="none"/>
            </w:rPr>
            <w:t>11</w:t>
          </w:r>
          <w:r>
            <w:rPr>
              <w:highlight w:val="none"/>
            </w:rPr>
            <w:fldChar w:fldCharType="end"/>
          </w:r>
          <w:r>
            <w:rPr>
              <w:rFonts w:hint="eastAsia"/>
              <w:highlight w:val="none"/>
            </w:rPr>
            <w:fldChar w:fldCharType="end"/>
          </w:r>
        </w:p>
        <w:p w14:paraId="5708826A">
          <w:pPr>
            <w:pStyle w:val="23"/>
            <w:pageBreakBefore w:val="0"/>
            <w:widowControl w:val="0"/>
            <w:tabs>
              <w:tab w:val="right" w:leader="dot" w:pos="9026"/>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_Toc20759 </w:instrText>
          </w:r>
          <w:r>
            <w:rPr>
              <w:rFonts w:hint="eastAsia"/>
              <w:highlight w:val="none"/>
            </w:rPr>
            <w:fldChar w:fldCharType="separate"/>
          </w:r>
          <w:r>
            <w:rPr>
              <w:rFonts w:hint="eastAsia"/>
              <w:highlight w:val="none"/>
            </w:rPr>
            <w:t>六、确定成交</w:t>
          </w:r>
          <w:r>
            <w:rPr>
              <w:highlight w:val="none"/>
            </w:rPr>
            <w:tab/>
          </w:r>
          <w:r>
            <w:rPr>
              <w:highlight w:val="none"/>
            </w:rPr>
            <w:fldChar w:fldCharType="begin"/>
          </w:r>
          <w:r>
            <w:rPr>
              <w:highlight w:val="none"/>
            </w:rPr>
            <w:instrText xml:space="preserve"> PAGEREF _Toc20759 \h </w:instrText>
          </w:r>
          <w:r>
            <w:rPr>
              <w:highlight w:val="none"/>
            </w:rPr>
            <w:fldChar w:fldCharType="separate"/>
          </w:r>
          <w:r>
            <w:rPr>
              <w:highlight w:val="none"/>
            </w:rPr>
            <w:t>11</w:t>
          </w:r>
          <w:r>
            <w:rPr>
              <w:highlight w:val="none"/>
            </w:rPr>
            <w:fldChar w:fldCharType="end"/>
          </w:r>
          <w:r>
            <w:rPr>
              <w:rFonts w:hint="eastAsia"/>
              <w:highlight w:val="none"/>
            </w:rPr>
            <w:fldChar w:fldCharType="end"/>
          </w:r>
        </w:p>
        <w:p w14:paraId="14144B35">
          <w:pPr>
            <w:pStyle w:val="14"/>
            <w:pageBreakBefore w:val="0"/>
            <w:widowControl w:val="0"/>
            <w:tabs>
              <w:tab w:val="right" w:leader="dot" w:pos="9026"/>
              <w:tab w:val="clear" w:pos="1260"/>
              <w:tab w:val="clear" w:pos="8630"/>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_Toc22899 </w:instrText>
          </w:r>
          <w:r>
            <w:rPr>
              <w:rFonts w:hint="eastAsia"/>
              <w:highlight w:val="none"/>
            </w:rPr>
            <w:fldChar w:fldCharType="separate"/>
          </w:r>
          <w:r>
            <w:rPr>
              <w:rFonts w:hint="eastAsia"/>
              <w:highlight w:val="none"/>
            </w:rPr>
            <w:t>27.推荐成交候选供应商</w:t>
          </w:r>
          <w:r>
            <w:rPr>
              <w:highlight w:val="none"/>
            </w:rPr>
            <w:tab/>
          </w:r>
          <w:r>
            <w:rPr>
              <w:highlight w:val="none"/>
            </w:rPr>
            <w:fldChar w:fldCharType="begin"/>
          </w:r>
          <w:r>
            <w:rPr>
              <w:highlight w:val="none"/>
            </w:rPr>
            <w:instrText xml:space="preserve"> PAGEREF _Toc22899 \h </w:instrText>
          </w:r>
          <w:r>
            <w:rPr>
              <w:highlight w:val="none"/>
            </w:rPr>
            <w:fldChar w:fldCharType="separate"/>
          </w:r>
          <w:r>
            <w:rPr>
              <w:highlight w:val="none"/>
            </w:rPr>
            <w:t>11</w:t>
          </w:r>
          <w:r>
            <w:rPr>
              <w:highlight w:val="none"/>
            </w:rPr>
            <w:fldChar w:fldCharType="end"/>
          </w:r>
          <w:r>
            <w:rPr>
              <w:rFonts w:hint="eastAsia"/>
              <w:highlight w:val="none"/>
            </w:rPr>
            <w:fldChar w:fldCharType="end"/>
          </w:r>
        </w:p>
        <w:p w14:paraId="17F87F49">
          <w:pPr>
            <w:pStyle w:val="14"/>
            <w:pageBreakBefore w:val="0"/>
            <w:widowControl w:val="0"/>
            <w:tabs>
              <w:tab w:val="right" w:leader="dot" w:pos="9026"/>
              <w:tab w:val="clear" w:pos="1260"/>
              <w:tab w:val="clear" w:pos="8630"/>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_Toc8469 </w:instrText>
          </w:r>
          <w:r>
            <w:rPr>
              <w:rFonts w:hint="eastAsia"/>
              <w:highlight w:val="none"/>
            </w:rPr>
            <w:fldChar w:fldCharType="separate"/>
          </w:r>
          <w:r>
            <w:rPr>
              <w:rFonts w:hint="eastAsia"/>
              <w:highlight w:val="none"/>
            </w:rPr>
            <w:t>28.确定成交供应商</w:t>
          </w:r>
          <w:r>
            <w:rPr>
              <w:highlight w:val="none"/>
            </w:rPr>
            <w:tab/>
          </w:r>
          <w:r>
            <w:rPr>
              <w:highlight w:val="none"/>
            </w:rPr>
            <w:fldChar w:fldCharType="begin"/>
          </w:r>
          <w:r>
            <w:rPr>
              <w:highlight w:val="none"/>
            </w:rPr>
            <w:instrText xml:space="preserve"> PAGEREF _Toc8469 \h </w:instrText>
          </w:r>
          <w:r>
            <w:rPr>
              <w:highlight w:val="none"/>
            </w:rPr>
            <w:fldChar w:fldCharType="separate"/>
          </w:r>
          <w:r>
            <w:rPr>
              <w:highlight w:val="none"/>
            </w:rPr>
            <w:t>11</w:t>
          </w:r>
          <w:r>
            <w:rPr>
              <w:highlight w:val="none"/>
            </w:rPr>
            <w:fldChar w:fldCharType="end"/>
          </w:r>
          <w:r>
            <w:rPr>
              <w:rFonts w:hint="eastAsia"/>
              <w:highlight w:val="none"/>
            </w:rPr>
            <w:fldChar w:fldCharType="end"/>
          </w:r>
        </w:p>
        <w:p w14:paraId="390A20A3">
          <w:pPr>
            <w:pStyle w:val="14"/>
            <w:pageBreakBefore w:val="0"/>
            <w:widowControl w:val="0"/>
            <w:tabs>
              <w:tab w:val="right" w:leader="dot" w:pos="9026"/>
              <w:tab w:val="clear" w:pos="1260"/>
              <w:tab w:val="clear" w:pos="8630"/>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_Toc0 </w:instrText>
          </w:r>
          <w:r>
            <w:rPr>
              <w:rFonts w:hint="eastAsia"/>
              <w:highlight w:val="none"/>
            </w:rPr>
            <w:fldChar w:fldCharType="separate"/>
          </w:r>
          <w:r>
            <w:rPr>
              <w:rFonts w:hint="eastAsia"/>
              <w:highlight w:val="none"/>
            </w:rPr>
            <w:t>29.采购任务取消</w:t>
          </w:r>
          <w:r>
            <w:rPr>
              <w:highlight w:val="none"/>
            </w:rPr>
            <w:tab/>
          </w:r>
          <w:r>
            <w:rPr>
              <w:highlight w:val="none"/>
            </w:rPr>
            <w:fldChar w:fldCharType="begin"/>
          </w:r>
          <w:r>
            <w:rPr>
              <w:highlight w:val="none"/>
            </w:rPr>
            <w:instrText xml:space="preserve"> PAGEREF _Toc0 \h </w:instrText>
          </w:r>
          <w:r>
            <w:rPr>
              <w:highlight w:val="none"/>
            </w:rPr>
            <w:fldChar w:fldCharType="separate"/>
          </w:r>
          <w:r>
            <w:rPr>
              <w:highlight w:val="none"/>
            </w:rPr>
            <w:t>11</w:t>
          </w:r>
          <w:r>
            <w:rPr>
              <w:highlight w:val="none"/>
            </w:rPr>
            <w:fldChar w:fldCharType="end"/>
          </w:r>
          <w:r>
            <w:rPr>
              <w:rFonts w:hint="eastAsia"/>
              <w:highlight w:val="none"/>
            </w:rPr>
            <w:fldChar w:fldCharType="end"/>
          </w:r>
        </w:p>
        <w:p w14:paraId="3A54A8AC">
          <w:pPr>
            <w:pStyle w:val="14"/>
            <w:pageBreakBefore w:val="0"/>
            <w:widowControl w:val="0"/>
            <w:tabs>
              <w:tab w:val="right" w:leader="dot" w:pos="9026"/>
              <w:tab w:val="clear" w:pos="1260"/>
              <w:tab w:val="clear" w:pos="8630"/>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_Toc31230 </w:instrText>
          </w:r>
          <w:r>
            <w:rPr>
              <w:rFonts w:hint="eastAsia"/>
              <w:highlight w:val="none"/>
            </w:rPr>
            <w:fldChar w:fldCharType="separate"/>
          </w:r>
          <w:r>
            <w:rPr>
              <w:rFonts w:hint="eastAsia"/>
              <w:highlight w:val="none"/>
            </w:rPr>
            <w:t>30.发出成交通知书</w:t>
          </w:r>
          <w:r>
            <w:rPr>
              <w:highlight w:val="none"/>
            </w:rPr>
            <w:tab/>
          </w:r>
          <w:r>
            <w:rPr>
              <w:highlight w:val="none"/>
            </w:rPr>
            <w:fldChar w:fldCharType="begin"/>
          </w:r>
          <w:r>
            <w:rPr>
              <w:highlight w:val="none"/>
            </w:rPr>
            <w:instrText xml:space="preserve"> PAGEREF _Toc31230 \h </w:instrText>
          </w:r>
          <w:r>
            <w:rPr>
              <w:highlight w:val="none"/>
            </w:rPr>
            <w:fldChar w:fldCharType="separate"/>
          </w:r>
          <w:r>
            <w:rPr>
              <w:highlight w:val="none"/>
            </w:rPr>
            <w:t>11</w:t>
          </w:r>
          <w:r>
            <w:rPr>
              <w:highlight w:val="none"/>
            </w:rPr>
            <w:fldChar w:fldCharType="end"/>
          </w:r>
          <w:r>
            <w:rPr>
              <w:rFonts w:hint="eastAsia"/>
              <w:highlight w:val="none"/>
            </w:rPr>
            <w:fldChar w:fldCharType="end"/>
          </w:r>
        </w:p>
        <w:p w14:paraId="74169705">
          <w:pPr>
            <w:pStyle w:val="14"/>
            <w:pageBreakBefore w:val="0"/>
            <w:widowControl w:val="0"/>
            <w:tabs>
              <w:tab w:val="right" w:leader="dot" w:pos="9026"/>
              <w:tab w:val="clear" w:pos="1260"/>
              <w:tab w:val="clear" w:pos="8630"/>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_Toc24375 </w:instrText>
          </w:r>
          <w:r>
            <w:rPr>
              <w:rFonts w:hint="eastAsia"/>
              <w:highlight w:val="none"/>
            </w:rPr>
            <w:fldChar w:fldCharType="separate"/>
          </w:r>
          <w:r>
            <w:rPr>
              <w:rFonts w:hint="eastAsia"/>
              <w:highlight w:val="none"/>
            </w:rPr>
            <w:t>31.签订合同</w:t>
          </w:r>
          <w:r>
            <w:rPr>
              <w:highlight w:val="none"/>
            </w:rPr>
            <w:tab/>
          </w:r>
          <w:r>
            <w:rPr>
              <w:highlight w:val="none"/>
            </w:rPr>
            <w:fldChar w:fldCharType="begin"/>
          </w:r>
          <w:r>
            <w:rPr>
              <w:highlight w:val="none"/>
            </w:rPr>
            <w:instrText xml:space="preserve"> PAGEREF _Toc24375 \h </w:instrText>
          </w:r>
          <w:r>
            <w:rPr>
              <w:highlight w:val="none"/>
            </w:rPr>
            <w:fldChar w:fldCharType="separate"/>
          </w:r>
          <w:r>
            <w:rPr>
              <w:highlight w:val="none"/>
            </w:rPr>
            <w:t>11</w:t>
          </w:r>
          <w:r>
            <w:rPr>
              <w:highlight w:val="none"/>
            </w:rPr>
            <w:fldChar w:fldCharType="end"/>
          </w:r>
          <w:r>
            <w:rPr>
              <w:rFonts w:hint="eastAsia"/>
              <w:highlight w:val="none"/>
            </w:rPr>
            <w:fldChar w:fldCharType="end"/>
          </w:r>
        </w:p>
        <w:p w14:paraId="27398CFB">
          <w:pPr>
            <w:pStyle w:val="14"/>
            <w:pageBreakBefore w:val="0"/>
            <w:widowControl w:val="0"/>
            <w:tabs>
              <w:tab w:val="right" w:leader="dot" w:pos="9026"/>
              <w:tab w:val="clear" w:pos="1260"/>
              <w:tab w:val="clear" w:pos="8630"/>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_Toc12196 </w:instrText>
          </w:r>
          <w:r>
            <w:rPr>
              <w:rFonts w:hint="eastAsia"/>
              <w:highlight w:val="none"/>
            </w:rPr>
            <w:fldChar w:fldCharType="separate"/>
          </w:r>
          <w:r>
            <w:rPr>
              <w:rFonts w:hint="eastAsia"/>
              <w:highlight w:val="none"/>
            </w:rPr>
            <w:t>32.履约保证金</w:t>
          </w:r>
          <w:r>
            <w:rPr>
              <w:highlight w:val="none"/>
            </w:rPr>
            <w:tab/>
          </w:r>
          <w:r>
            <w:rPr>
              <w:highlight w:val="none"/>
            </w:rPr>
            <w:fldChar w:fldCharType="begin"/>
          </w:r>
          <w:r>
            <w:rPr>
              <w:highlight w:val="none"/>
            </w:rPr>
            <w:instrText xml:space="preserve"> PAGEREF _Toc12196 \h </w:instrText>
          </w:r>
          <w:r>
            <w:rPr>
              <w:highlight w:val="none"/>
            </w:rPr>
            <w:fldChar w:fldCharType="separate"/>
          </w:r>
          <w:r>
            <w:rPr>
              <w:highlight w:val="none"/>
            </w:rPr>
            <w:t>12</w:t>
          </w:r>
          <w:r>
            <w:rPr>
              <w:highlight w:val="none"/>
            </w:rPr>
            <w:fldChar w:fldCharType="end"/>
          </w:r>
          <w:r>
            <w:rPr>
              <w:rFonts w:hint="eastAsia"/>
              <w:highlight w:val="none"/>
            </w:rPr>
            <w:fldChar w:fldCharType="end"/>
          </w:r>
        </w:p>
        <w:p w14:paraId="608F559A">
          <w:pPr>
            <w:pStyle w:val="14"/>
            <w:pageBreakBefore w:val="0"/>
            <w:widowControl w:val="0"/>
            <w:tabs>
              <w:tab w:val="right" w:leader="dot" w:pos="9026"/>
              <w:tab w:val="clear" w:pos="1260"/>
              <w:tab w:val="clear" w:pos="8630"/>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_Toc4355 </w:instrText>
          </w:r>
          <w:r>
            <w:rPr>
              <w:rFonts w:hint="eastAsia"/>
              <w:highlight w:val="none"/>
            </w:rPr>
            <w:fldChar w:fldCharType="separate"/>
          </w:r>
          <w:r>
            <w:rPr>
              <w:rFonts w:hint="eastAsia"/>
              <w:highlight w:val="none"/>
            </w:rPr>
            <w:t>33.廉洁自律规定</w:t>
          </w:r>
          <w:r>
            <w:rPr>
              <w:highlight w:val="none"/>
            </w:rPr>
            <w:tab/>
          </w:r>
          <w:r>
            <w:rPr>
              <w:highlight w:val="none"/>
            </w:rPr>
            <w:fldChar w:fldCharType="begin"/>
          </w:r>
          <w:r>
            <w:rPr>
              <w:highlight w:val="none"/>
            </w:rPr>
            <w:instrText xml:space="preserve"> PAGEREF _Toc4355 \h </w:instrText>
          </w:r>
          <w:r>
            <w:rPr>
              <w:highlight w:val="none"/>
            </w:rPr>
            <w:fldChar w:fldCharType="separate"/>
          </w:r>
          <w:r>
            <w:rPr>
              <w:highlight w:val="none"/>
            </w:rPr>
            <w:t>12</w:t>
          </w:r>
          <w:r>
            <w:rPr>
              <w:highlight w:val="none"/>
            </w:rPr>
            <w:fldChar w:fldCharType="end"/>
          </w:r>
          <w:r>
            <w:rPr>
              <w:rFonts w:hint="eastAsia"/>
              <w:highlight w:val="none"/>
            </w:rPr>
            <w:fldChar w:fldCharType="end"/>
          </w:r>
        </w:p>
        <w:p w14:paraId="645A66FF">
          <w:pPr>
            <w:pStyle w:val="14"/>
            <w:pageBreakBefore w:val="0"/>
            <w:widowControl w:val="0"/>
            <w:tabs>
              <w:tab w:val="right" w:leader="dot" w:pos="9026"/>
              <w:tab w:val="clear" w:pos="1260"/>
              <w:tab w:val="clear" w:pos="8630"/>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_Toc15389 </w:instrText>
          </w:r>
          <w:r>
            <w:rPr>
              <w:rFonts w:hint="eastAsia"/>
              <w:highlight w:val="none"/>
            </w:rPr>
            <w:fldChar w:fldCharType="separate"/>
          </w:r>
          <w:r>
            <w:rPr>
              <w:rFonts w:hint="eastAsia"/>
              <w:highlight w:val="none"/>
            </w:rPr>
            <w:t>34.人员回避</w:t>
          </w:r>
          <w:r>
            <w:rPr>
              <w:highlight w:val="none"/>
            </w:rPr>
            <w:tab/>
          </w:r>
          <w:r>
            <w:rPr>
              <w:highlight w:val="none"/>
            </w:rPr>
            <w:fldChar w:fldCharType="begin"/>
          </w:r>
          <w:r>
            <w:rPr>
              <w:highlight w:val="none"/>
            </w:rPr>
            <w:instrText xml:space="preserve"> PAGEREF _Toc15389 \h </w:instrText>
          </w:r>
          <w:r>
            <w:rPr>
              <w:highlight w:val="none"/>
            </w:rPr>
            <w:fldChar w:fldCharType="separate"/>
          </w:r>
          <w:r>
            <w:rPr>
              <w:highlight w:val="none"/>
            </w:rPr>
            <w:t>12</w:t>
          </w:r>
          <w:r>
            <w:rPr>
              <w:highlight w:val="none"/>
            </w:rPr>
            <w:fldChar w:fldCharType="end"/>
          </w:r>
          <w:r>
            <w:rPr>
              <w:rFonts w:hint="eastAsia"/>
              <w:highlight w:val="none"/>
            </w:rPr>
            <w:fldChar w:fldCharType="end"/>
          </w:r>
        </w:p>
        <w:p w14:paraId="7704EEBD">
          <w:pPr>
            <w:pStyle w:val="14"/>
            <w:pageBreakBefore w:val="0"/>
            <w:widowControl w:val="0"/>
            <w:tabs>
              <w:tab w:val="right" w:leader="dot" w:pos="9026"/>
              <w:tab w:val="clear" w:pos="1260"/>
              <w:tab w:val="clear" w:pos="8630"/>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_Toc14232 </w:instrText>
          </w:r>
          <w:r>
            <w:rPr>
              <w:rFonts w:hint="eastAsia"/>
              <w:highlight w:val="none"/>
            </w:rPr>
            <w:fldChar w:fldCharType="separate"/>
          </w:r>
          <w:r>
            <w:rPr>
              <w:rFonts w:hint="eastAsia"/>
              <w:highlight w:val="none"/>
            </w:rPr>
            <w:t>35.质疑与接收</w:t>
          </w:r>
          <w:r>
            <w:rPr>
              <w:highlight w:val="none"/>
            </w:rPr>
            <w:tab/>
          </w:r>
          <w:r>
            <w:rPr>
              <w:highlight w:val="none"/>
            </w:rPr>
            <w:fldChar w:fldCharType="begin"/>
          </w:r>
          <w:r>
            <w:rPr>
              <w:highlight w:val="none"/>
            </w:rPr>
            <w:instrText xml:space="preserve"> PAGEREF _Toc14232 \h </w:instrText>
          </w:r>
          <w:r>
            <w:rPr>
              <w:highlight w:val="none"/>
            </w:rPr>
            <w:fldChar w:fldCharType="separate"/>
          </w:r>
          <w:r>
            <w:rPr>
              <w:highlight w:val="none"/>
            </w:rPr>
            <w:t>12</w:t>
          </w:r>
          <w:r>
            <w:rPr>
              <w:highlight w:val="none"/>
            </w:rPr>
            <w:fldChar w:fldCharType="end"/>
          </w:r>
          <w:r>
            <w:rPr>
              <w:rFonts w:hint="eastAsia"/>
              <w:highlight w:val="none"/>
            </w:rPr>
            <w:fldChar w:fldCharType="end"/>
          </w:r>
        </w:p>
        <w:p w14:paraId="5FA0A82D">
          <w:pPr>
            <w:pStyle w:val="20"/>
            <w:pageBreakBefore w:val="0"/>
            <w:widowControl w:val="0"/>
            <w:tabs>
              <w:tab w:val="right" w:leader="dot" w:pos="9026"/>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_Toc20350 </w:instrText>
          </w:r>
          <w:r>
            <w:rPr>
              <w:rFonts w:hint="eastAsia"/>
              <w:highlight w:val="none"/>
            </w:rPr>
            <w:fldChar w:fldCharType="separate"/>
          </w:r>
          <w:r>
            <w:rPr>
              <w:rFonts w:hint="eastAsia"/>
              <w:highlight w:val="none"/>
            </w:rPr>
            <w:t>第2章 竞争性磋商公告</w:t>
          </w:r>
          <w:r>
            <w:rPr>
              <w:highlight w:val="none"/>
            </w:rPr>
            <w:tab/>
          </w:r>
          <w:r>
            <w:rPr>
              <w:highlight w:val="none"/>
            </w:rPr>
            <w:fldChar w:fldCharType="begin"/>
          </w:r>
          <w:r>
            <w:rPr>
              <w:highlight w:val="none"/>
            </w:rPr>
            <w:instrText xml:space="preserve"> PAGEREF _Toc20350 \h </w:instrText>
          </w:r>
          <w:r>
            <w:rPr>
              <w:highlight w:val="none"/>
            </w:rPr>
            <w:fldChar w:fldCharType="separate"/>
          </w:r>
          <w:r>
            <w:rPr>
              <w:highlight w:val="none"/>
            </w:rPr>
            <w:t>14</w:t>
          </w:r>
          <w:r>
            <w:rPr>
              <w:highlight w:val="none"/>
            </w:rPr>
            <w:fldChar w:fldCharType="end"/>
          </w:r>
          <w:r>
            <w:rPr>
              <w:rFonts w:hint="eastAsia"/>
              <w:highlight w:val="none"/>
            </w:rPr>
            <w:fldChar w:fldCharType="end"/>
          </w:r>
        </w:p>
        <w:p w14:paraId="460B8C23">
          <w:pPr>
            <w:pStyle w:val="20"/>
            <w:pageBreakBefore w:val="0"/>
            <w:widowControl w:val="0"/>
            <w:tabs>
              <w:tab w:val="right" w:leader="dot" w:pos="9026"/>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_Toc2126 </w:instrText>
          </w:r>
          <w:r>
            <w:rPr>
              <w:rFonts w:hint="eastAsia"/>
              <w:highlight w:val="none"/>
            </w:rPr>
            <w:fldChar w:fldCharType="separate"/>
          </w:r>
          <w:r>
            <w:rPr>
              <w:rFonts w:hint="eastAsia"/>
              <w:szCs w:val="32"/>
              <w:highlight w:val="none"/>
            </w:rPr>
            <w:t xml:space="preserve">第3章 </w:t>
          </w:r>
          <w:r>
            <w:rPr>
              <w:rFonts w:hint="eastAsia"/>
              <w:highlight w:val="none"/>
            </w:rPr>
            <w:t>供应商须知</w:t>
          </w:r>
          <w:r>
            <w:rPr>
              <w:rFonts w:hint="eastAsia"/>
              <w:szCs w:val="32"/>
              <w:highlight w:val="none"/>
            </w:rPr>
            <w:t>资料表</w:t>
          </w:r>
          <w:r>
            <w:rPr>
              <w:highlight w:val="none"/>
            </w:rPr>
            <w:tab/>
          </w:r>
          <w:r>
            <w:rPr>
              <w:highlight w:val="none"/>
            </w:rPr>
            <w:fldChar w:fldCharType="begin"/>
          </w:r>
          <w:r>
            <w:rPr>
              <w:highlight w:val="none"/>
            </w:rPr>
            <w:instrText xml:space="preserve"> PAGEREF _Toc2126 \h </w:instrText>
          </w:r>
          <w:r>
            <w:rPr>
              <w:highlight w:val="none"/>
            </w:rPr>
            <w:fldChar w:fldCharType="separate"/>
          </w:r>
          <w:r>
            <w:rPr>
              <w:highlight w:val="none"/>
            </w:rPr>
            <w:t>17</w:t>
          </w:r>
          <w:r>
            <w:rPr>
              <w:highlight w:val="none"/>
            </w:rPr>
            <w:fldChar w:fldCharType="end"/>
          </w:r>
          <w:r>
            <w:rPr>
              <w:rFonts w:hint="eastAsia"/>
              <w:highlight w:val="none"/>
            </w:rPr>
            <w:fldChar w:fldCharType="end"/>
          </w:r>
        </w:p>
        <w:p w14:paraId="52C9CA07">
          <w:pPr>
            <w:pStyle w:val="20"/>
            <w:pageBreakBefore w:val="0"/>
            <w:widowControl w:val="0"/>
            <w:tabs>
              <w:tab w:val="right" w:leader="dot" w:pos="9026"/>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_Toc12085 </w:instrText>
          </w:r>
          <w:r>
            <w:rPr>
              <w:rFonts w:hint="eastAsia"/>
              <w:highlight w:val="none"/>
            </w:rPr>
            <w:fldChar w:fldCharType="separate"/>
          </w:r>
          <w:r>
            <w:rPr>
              <w:rFonts w:hint="eastAsia"/>
              <w:highlight w:val="none"/>
            </w:rPr>
            <w:t>第4章 项目内容及要求</w:t>
          </w:r>
          <w:r>
            <w:rPr>
              <w:highlight w:val="none"/>
            </w:rPr>
            <w:tab/>
          </w:r>
          <w:r>
            <w:rPr>
              <w:highlight w:val="none"/>
            </w:rPr>
            <w:fldChar w:fldCharType="begin"/>
          </w:r>
          <w:r>
            <w:rPr>
              <w:highlight w:val="none"/>
            </w:rPr>
            <w:instrText xml:space="preserve"> PAGEREF _Toc12085 \h </w:instrText>
          </w:r>
          <w:r>
            <w:rPr>
              <w:highlight w:val="none"/>
            </w:rPr>
            <w:fldChar w:fldCharType="separate"/>
          </w:r>
          <w:r>
            <w:rPr>
              <w:highlight w:val="none"/>
            </w:rPr>
            <w:t>20</w:t>
          </w:r>
          <w:r>
            <w:rPr>
              <w:highlight w:val="none"/>
            </w:rPr>
            <w:fldChar w:fldCharType="end"/>
          </w:r>
          <w:r>
            <w:rPr>
              <w:rFonts w:hint="eastAsia"/>
              <w:highlight w:val="none"/>
            </w:rPr>
            <w:fldChar w:fldCharType="end"/>
          </w:r>
        </w:p>
        <w:p w14:paraId="72BF7800">
          <w:pPr>
            <w:pStyle w:val="20"/>
            <w:pageBreakBefore w:val="0"/>
            <w:widowControl w:val="0"/>
            <w:tabs>
              <w:tab w:val="right" w:leader="dot" w:pos="9026"/>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_Toc28498 </w:instrText>
          </w:r>
          <w:r>
            <w:rPr>
              <w:rFonts w:hint="eastAsia"/>
              <w:highlight w:val="none"/>
            </w:rPr>
            <w:fldChar w:fldCharType="separate"/>
          </w:r>
          <w:r>
            <w:rPr>
              <w:rFonts w:hint="eastAsia"/>
              <w:highlight w:val="none"/>
            </w:rPr>
            <w:t>第5章 评审方法和标准</w:t>
          </w:r>
          <w:r>
            <w:rPr>
              <w:highlight w:val="none"/>
            </w:rPr>
            <w:tab/>
          </w:r>
          <w:r>
            <w:rPr>
              <w:highlight w:val="none"/>
            </w:rPr>
            <w:fldChar w:fldCharType="begin"/>
          </w:r>
          <w:r>
            <w:rPr>
              <w:highlight w:val="none"/>
            </w:rPr>
            <w:instrText xml:space="preserve"> PAGEREF _Toc28498 \h </w:instrText>
          </w:r>
          <w:r>
            <w:rPr>
              <w:highlight w:val="none"/>
            </w:rPr>
            <w:fldChar w:fldCharType="separate"/>
          </w:r>
          <w:r>
            <w:rPr>
              <w:highlight w:val="none"/>
            </w:rPr>
            <w:t>27</w:t>
          </w:r>
          <w:r>
            <w:rPr>
              <w:highlight w:val="none"/>
            </w:rPr>
            <w:fldChar w:fldCharType="end"/>
          </w:r>
          <w:r>
            <w:rPr>
              <w:rFonts w:hint="eastAsia"/>
              <w:highlight w:val="none"/>
            </w:rPr>
            <w:fldChar w:fldCharType="end"/>
          </w:r>
        </w:p>
        <w:p w14:paraId="23F7ABCF">
          <w:pPr>
            <w:pStyle w:val="20"/>
            <w:pageBreakBefore w:val="0"/>
            <w:widowControl w:val="0"/>
            <w:tabs>
              <w:tab w:val="right" w:leader="dot" w:pos="9026"/>
            </w:tabs>
            <w:kinsoku/>
            <w:wordWrap/>
            <w:overflowPunct/>
            <w:topLinePunct w:val="0"/>
            <w:bidi w:val="0"/>
            <w:snapToGrid/>
            <w:spacing w:line="260" w:lineRule="exact"/>
            <w:textAlignment w:val="auto"/>
            <w:rPr>
              <w:highlight w:val="none"/>
            </w:rPr>
          </w:pPr>
          <w:r>
            <w:rPr>
              <w:rFonts w:hint="eastAsia"/>
              <w:highlight w:val="none"/>
            </w:rPr>
            <w:fldChar w:fldCharType="begin"/>
          </w:r>
          <w:r>
            <w:rPr>
              <w:rFonts w:hint="eastAsia"/>
              <w:highlight w:val="none"/>
            </w:rPr>
            <w:instrText xml:space="preserve"> HYPERLINK \l _Toc27688 </w:instrText>
          </w:r>
          <w:r>
            <w:rPr>
              <w:rFonts w:hint="eastAsia"/>
              <w:highlight w:val="none"/>
            </w:rPr>
            <w:fldChar w:fldCharType="separate"/>
          </w:r>
          <w:r>
            <w:rPr>
              <w:rFonts w:hint="eastAsia"/>
              <w:highlight w:val="none"/>
            </w:rPr>
            <w:t>第6章 响应文件格式</w:t>
          </w:r>
          <w:r>
            <w:rPr>
              <w:highlight w:val="none"/>
            </w:rPr>
            <w:tab/>
          </w:r>
          <w:r>
            <w:rPr>
              <w:highlight w:val="none"/>
            </w:rPr>
            <w:fldChar w:fldCharType="begin"/>
          </w:r>
          <w:r>
            <w:rPr>
              <w:highlight w:val="none"/>
            </w:rPr>
            <w:instrText xml:space="preserve"> PAGEREF _Toc27688 \h </w:instrText>
          </w:r>
          <w:r>
            <w:rPr>
              <w:highlight w:val="none"/>
            </w:rPr>
            <w:fldChar w:fldCharType="separate"/>
          </w:r>
          <w:r>
            <w:rPr>
              <w:highlight w:val="none"/>
            </w:rPr>
            <w:t>31</w:t>
          </w:r>
          <w:r>
            <w:rPr>
              <w:highlight w:val="none"/>
            </w:rPr>
            <w:fldChar w:fldCharType="end"/>
          </w:r>
          <w:r>
            <w:rPr>
              <w:rFonts w:hint="eastAsia"/>
              <w:highlight w:val="none"/>
            </w:rPr>
            <w:fldChar w:fldCharType="end"/>
          </w:r>
        </w:p>
        <w:p w14:paraId="78FA73AD">
          <w:pPr>
            <w:pStyle w:val="2"/>
            <w:pageBreakBefore w:val="0"/>
            <w:widowControl w:val="0"/>
            <w:tabs>
              <w:tab w:val="left" w:pos="0"/>
            </w:tabs>
            <w:kinsoku/>
            <w:wordWrap/>
            <w:overflowPunct/>
            <w:topLinePunct w:val="0"/>
            <w:bidi w:val="0"/>
            <w:snapToGrid/>
            <w:spacing w:line="260" w:lineRule="exact"/>
            <w:jc w:val="both"/>
            <w:textAlignment w:val="auto"/>
            <w:rPr>
              <w:rFonts w:hint="eastAsia"/>
              <w:b/>
              <w:kern w:val="44"/>
              <w:sz w:val="44"/>
              <w:szCs w:val="20"/>
              <w:highlight w:val="none"/>
            </w:rPr>
          </w:pPr>
          <w:r>
            <w:rPr>
              <w:rFonts w:hint="eastAsia"/>
              <w:highlight w:val="none"/>
            </w:rPr>
            <w:fldChar w:fldCharType="end"/>
          </w:r>
        </w:p>
      </w:sdtContent>
    </w:sdt>
    <w:p w14:paraId="3C410F14">
      <w:pPr>
        <w:bidi w:val="0"/>
        <w:rPr>
          <w:rFonts w:hint="eastAsia"/>
          <w:highlight w:val="none"/>
        </w:rPr>
      </w:pPr>
    </w:p>
    <w:p w14:paraId="41C2D8D3">
      <w:pPr>
        <w:bidi w:val="0"/>
        <w:rPr>
          <w:rFonts w:hint="eastAsia"/>
          <w:highlight w:val="none"/>
        </w:rPr>
      </w:pPr>
    </w:p>
    <w:p w14:paraId="62904B7A">
      <w:pPr>
        <w:tabs>
          <w:tab w:val="left" w:pos="7357"/>
        </w:tabs>
        <w:bidi w:val="0"/>
        <w:jc w:val="left"/>
        <w:rPr>
          <w:rFonts w:hint="eastAsia" w:eastAsia="宋体"/>
          <w:highlight w:val="none"/>
          <w:lang w:eastAsia="zh-CN"/>
        </w:rPr>
        <w:sectPr>
          <w:headerReference r:id="rId6" w:type="first"/>
          <w:footerReference r:id="rId7" w:type="first"/>
          <w:headerReference r:id="rId5" w:type="default"/>
          <w:pgSz w:w="11906" w:h="16838"/>
          <w:pgMar w:top="1440" w:right="1440" w:bottom="1440" w:left="1440" w:header="851" w:footer="992" w:gutter="0"/>
          <w:pgNumType w:start="1"/>
          <w:cols w:space="720" w:num="1"/>
          <w:docGrid w:linePitch="312" w:charSpace="0"/>
        </w:sectPr>
      </w:pPr>
    </w:p>
    <w:p w14:paraId="3B34AF41">
      <w:pPr>
        <w:pStyle w:val="2"/>
        <w:tabs>
          <w:tab w:val="left" w:pos="0"/>
        </w:tabs>
        <w:rPr>
          <w:rFonts w:hint="eastAsia"/>
          <w:highlight w:val="none"/>
        </w:rPr>
      </w:pPr>
      <w:bookmarkStart w:id="3" w:name="_Toc24799"/>
      <w:bookmarkStart w:id="4" w:name="_Toc31665"/>
      <w:bookmarkStart w:id="5" w:name="_Toc27282"/>
      <w:r>
        <w:rPr>
          <w:rFonts w:hint="eastAsia"/>
          <w:highlight w:val="none"/>
        </w:rPr>
        <w:t>第1章 供应商须知</w:t>
      </w:r>
      <w:bookmarkEnd w:id="0"/>
      <w:bookmarkEnd w:id="1"/>
      <w:bookmarkEnd w:id="2"/>
      <w:bookmarkEnd w:id="3"/>
      <w:bookmarkEnd w:id="4"/>
      <w:bookmarkEnd w:id="5"/>
    </w:p>
    <w:p w14:paraId="6F3430BE">
      <w:pPr>
        <w:pStyle w:val="3"/>
        <w:rPr>
          <w:rFonts w:hint="eastAsia"/>
          <w:color w:val="000000"/>
          <w:highlight w:val="none"/>
        </w:rPr>
      </w:pPr>
      <w:bookmarkStart w:id="6" w:name="_Toc520356143"/>
      <w:bookmarkStart w:id="7" w:name="_Toc515647757"/>
      <w:bookmarkStart w:id="8" w:name="_Toc216582805"/>
      <w:bookmarkStart w:id="9" w:name="_Toc21015"/>
      <w:bookmarkStart w:id="10" w:name="_Toc12946"/>
      <w:bookmarkStart w:id="11" w:name="_Toc9708"/>
      <w:bookmarkStart w:id="12" w:name="_Toc25807"/>
      <w:bookmarkStart w:id="13" w:name="_Toc8307"/>
      <w:bookmarkStart w:id="14" w:name="_Toc3208"/>
      <w:bookmarkStart w:id="15" w:name="_Toc17410"/>
      <w:bookmarkStart w:id="16" w:name="_Toc21215"/>
      <w:r>
        <w:rPr>
          <w:rFonts w:hint="eastAsia"/>
          <w:color w:val="000000"/>
          <w:highlight w:val="none"/>
        </w:rPr>
        <w:t>一</w:t>
      </w:r>
      <w:bookmarkEnd w:id="6"/>
      <w:bookmarkEnd w:id="7"/>
      <w:bookmarkEnd w:id="8"/>
      <w:r>
        <w:rPr>
          <w:rFonts w:hint="eastAsia"/>
          <w:color w:val="000000"/>
          <w:highlight w:val="none"/>
        </w:rPr>
        <w:t>、总则</w:t>
      </w:r>
      <w:bookmarkEnd w:id="9"/>
      <w:bookmarkEnd w:id="10"/>
      <w:bookmarkEnd w:id="11"/>
      <w:bookmarkEnd w:id="12"/>
      <w:bookmarkEnd w:id="13"/>
      <w:bookmarkEnd w:id="14"/>
      <w:bookmarkEnd w:id="15"/>
      <w:bookmarkEnd w:id="16"/>
    </w:p>
    <w:p w14:paraId="403EEAF3">
      <w:pPr>
        <w:pStyle w:val="4"/>
        <w:spacing w:before="0" w:after="0"/>
        <w:rPr>
          <w:rFonts w:hint="eastAsia"/>
          <w:color w:val="000000"/>
          <w:sz w:val="28"/>
          <w:highlight w:val="none"/>
          <w:u w:val="none"/>
        </w:rPr>
      </w:pPr>
      <w:bookmarkStart w:id="17" w:name="_Toc520356144"/>
      <w:bookmarkStart w:id="18" w:name="_Toc31277"/>
      <w:bookmarkStart w:id="19" w:name="_Toc19133"/>
      <w:bookmarkStart w:id="20" w:name="_Toc32623"/>
      <w:bookmarkStart w:id="21" w:name="_Toc13435"/>
      <w:bookmarkStart w:id="22" w:name="_Toc19806"/>
      <w:bookmarkStart w:id="23" w:name="_Toc515647758"/>
      <w:bookmarkStart w:id="24" w:name="_Toc32189"/>
      <w:bookmarkStart w:id="25" w:name="_Toc6075"/>
      <w:bookmarkStart w:id="26" w:name="_Toc3222"/>
      <w:r>
        <w:rPr>
          <w:rFonts w:hint="eastAsia"/>
          <w:color w:val="000000"/>
          <w:sz w:val="28"/>
          <w:highlight w:val="none"/>
          <w:u w:val="none"/>
        </w:rPr>
        <w:t>1.采购人、采购代理机构及</w:t>
      </w:r>
      <w:bookmarkEnd w:id="17"/>
      <w:r>
        <w:rPr>
          <w:rFonts w:hint="eastAsia"/>
          <w:color w:val="000000"/>
          <w:sz w:val="28"/>
          <w:highlight w:val="none"/>
          <w:u w:val="none"/>
        </w:rPr>
        <w:t>供应商</w:t>
      </w:r>
      <w:bookmarkEnd w:id="18"/>
      <w:bookmarkEnd w:id="19"/>
      <w:bookmarkEnd w:id="20"/>
      <w:bookmarkEnd w:id="21"/>
      <w:bookmarkEnd w:id="22"/>
      <w:bookmarkEnd w:id="23"/>
      <w:bookmarkEnd w:id="24"/>
      <w:bookmarkEnd w:id="25"/>
      <w:bookmarkEnd w:id="26"/>
    </w:p>
    <w:p w14:paraId="48C844EB">
      <w:pPr>
        <w:ind w:firstLine="480" w:firstLineChars="200"/>
        <w:rPr>
          <w:rFonts w:hint="eastAsia"/>
          <w:highlight w:val="none"/>
        </w:rPr>
      </w:pPr>
      <w:r>
        <w:rPr>
          <w:rFonts w:hint="eastAsia"/>
          <w:highlight w:val="none"/>
        </w:rPr>
        <w:t>1.1采购人：是指依法开展政府采购活动的国家机关、事业单位、团体组织。本项目的采购人见供应商须知资料表。</w:t>
      </w:r>
    </w:p>
    <w:p w14:paraId="4608C0A4">
      <w:pPr>
        <w:ind w:firstLine="480" w:firstLineChars="200"/>
        <w:rPr>
          <w:rFonts w:hint="eastAsia"/>
          <w:highlight w:val="none"/>
        </w:rPr>
      </w:pPr>
      <w:r>
        <w:rPr>
          <w:rFonts w:hint="eastAsia"/>
          <w:highlight w:val="none"/>
        </w:rPr>
        <w:t>1.2采购代理机构：是指集中采购机构或从事采购代理业务的社会中介机构，本项目的采购代理机构见供应商须知资料表。</w:t>
      </w:r>
    </w:p>
    <w:p w14:paraId="58D3222D">
      <w:pPr>
        <w:ind w:firstLine="480" w:firstLineChars="200"/>
        <w:rPr>
          <w:rFonts w:hint="eastAsia"/>
          <w:highlight w:val="none"/>
        </w:rPr>
      </w:pPr>
      <w:bookmarkStart w:id="27" w:name="_Toc5286"/>
      <w:bookmarkStart w:id="28" w:name="_Toc12139"/>
      <w:bookmarkStart w:id="29" w:name="_Toc515647759"/>
      <w:r>
        <w:rPr>
          <w:rFonts w:hint="eastAsia"/>
          <w:highlight w:val="none"/>
        </w:rPr>
        <w:t>1.3供应商：是指响应磋商、参加报价竞争的法人、事业单位、其他组织或者自然人。潜在供应商：以竞争性磋商文件规定的方式获取本项目竞争性磋商文件的法人、其他组织或者自然人。</w:t>
      </w:r>
    </w:p>
    <w:p w14:paraId="36D306F1">
      <w:pPr>
        <w:ind w:firstLine="480" w:firstLineChars="200"/>
        <w:rPr>
          <w:rFonts w:hint="eastAsia"/>
          <w:highlight w:val="none"/>
        </w:rPr>
      </w:pPr>
      <w:r>
        <w:rPr>
          <w:rFonts w:hint="eastAsia"/>
          <w:highlight w:val="none"/>
        </w:rPr>
        <w:t>本项目的供应商须满足的条件：详见磋商公告申请人的资格要求。</w:t>
      </w:r>
    </w:p>
    <w:p w14:paraId="58BE2949">
      <w:pPr>
        <w:ind w:firstLine="480" w:firstLineChars="200"/>
        <w:rPr>
          <w:rFonts w:hint="eastAsia"/>
          <w:highlight w:val="none"/>
        </w:rPr>
      </w:pPr>
      <w:r>
        <w:rPr>
          <w:rFonts w:hint="eastAsia"/>
          <w:highlight w:val="none"/>
        </w:rPr>
        <w:t>1.4单位负责人为同一人或者存在直接控股、管理关系的不同供应商，不得参加同一合同项下的政府采购活动，否则其相关响应文件均将被认定为响应文件无效。</w:t>
      </w:r>
    </w:p>
    <w:p w14:paraId="1242B847">
      <w:pPr>
        <w:ind w:firstLine="480" w:firstLineChars="200"/>
        <w:rPr>
          <w:rFonts w:hint="eastAsia"/>
          <w:highlight w:val="none"/>
        </w:rPr>
      </w:pPr>
      <w:r>
        <w:rPr>
          <w:rFonts w:hint="eastAsia"/>
          <w:highlight w:val="none"/>
        </w:rPr>
        <w:t>1.5为本项目提供过整体设计、规范编制或者项目管理、监理、检测等服务的供应商，不得再参加本项目上述服务以外的其他采购活动，否则其响应文件将被认定为响应文件无效。</w:t>
      </w:r>
    </w:p>
    <w:p w14:paraId="24A43EB5">
      <w:pPr>
        <w:ind w:firstLine="480" w:firstLineChars="200"/>
        <w:rPr>
          <w:rFonts w:hint="eastAsia"/>
          <w:highlight w:val="none"/>
        </w:rPr>
      </w:pPr>
      <w:r>
        <w:rPr>
          <w:rFonts w:hint="eastAsia"/>
          <w:highlight w:val="none"/>
        </w:rPr>
        <w:t>1.6供应商在磋商过程中不得向采购人提供、给予任何有价值的物品，影响其正常决策行为。一经发现，其将被认定为响应文件无效。</w:t>
      </w:r>
    </w:p>
    <w:p w14:paraId="4C066119">
      <w:pPr>
        <w:ind w:firstLine="480" w:firstLineChars="200"/>
        <w:rPr>
          <w:rFonts w:hint="eastAsia"/>
          <w:highlight w:val="none"/>
        </w:rPr>
      </w:pPr>
      <w:r>
        <w:rPr>
          <w:rFonts w:hint="eastAsia"/>
          <w:highlight w:val="none"/>
        </w:rPr>
        <w:t>1.7各供应商须对本项目指定一个项目负责人，对本项目所有事宜全程负责。未经采购人同意中途不得更换项目负责人。</w:t>
      </w:r>
    </w:p>
    <w:p w14:paraId="2BC7D087">
      <w:pPr>
        <w:pStyle w:val="4"/>
        <w:spacing w:before="0" w:after="0"/>
        <w:rPr>
          <w:rFonts w:hint="eastAsia"/>
          <w:color w:val="000000"/>
          <w:sz w:val="28"/>
          <w:highlight w:val="none"/>
          <w:u w:val="none"/>
        </w:rPr>
      </w:pPr>
      <w:bookmarkStart w:id="30" w:name="_Toc32752"/>
      <w:bookmarkStart w:id="31" w:name="_Toc19680"/>
      <w:bookmarkStart w:id="32" w:name="_Toc7086"/>
      <w:bookmarkStart w:id="33" w:name="_Toc25119"/>
      <w:bookmarkStart w:id="34" w:name="_Toc5368"/>
      <w:bookmarkStart w:id="35" w:name="_Toc10017"/>
      <w:r>
        <w:rPr>
          <w:rFonts w:hint="eastAsia"/>
          <w:color w:val="000000"/>
          <w:sz w:val="28"/>
          <w:highlight w:val="none"/>
          <w:u w:val="none"/>
        </w:rPr>
        <w:t>2.资金来源</w:t>
      </w:r>
      <w:bookmarkEnd w:id="27"/>
      <w:bookmarkEnd w:id="28"/>
      <w:bookmarkEnd w:id="29"/>
      <w:bookmarkEnd w:id="30"/>
      <w:bookmarkEnd w:id="31"/>
      <w:bookmarkEnd w:id="32"/>
      <w:bookmarkEnd w:id="33"/>
      <w:bookmarkEnd w:id="34"/>
      <w:bookmarkEnd w:id="35"/>
    </w:p>
    <w:p w14:paraId="2B9799B8">
      <w:pPr>
        <w:ind w:firstLine="480" w:firstLineChars="200"/>
        <w:rPr>
          <w:rFonts w:hint="eastAsia"/>
          <w:highlight w:val="none"/>
        </w:rPr>
      </w:pPr>
      <w:r>
        <w:rPr>
          <w:rFonts w:hint="eastAsia"/>
          <w:highlight w:val="none"/>
        </w:rPr>
        <w:t>2.1项目预算金额和最高限价见供应商须知资料表。</w:t>
      </w:r>
    </w:p>
    <w:p w14:paraId="71F0F70A">
      <w:pPr>
        <w:ind w:firstLine="480" w:firstLineChars="200"/>
        <w:rPr>
          <w:rFonts w:hint="eastAsia"/>
          <w:highlight w:val="none"/>
        </w:rPr>
      </w:pPr>
      <w:r>
        <w:rPr>
          <w:rFonts w:hint="eastAsia"/>
          <w:highlight w:val="none"/>
        </w:rPr>
        <w:t>2.2供应商报价超过竞争性磋商文件规定的预算金额或最高限价的，其响应文件将被认定为响应文件无效。</w:t>
      </w:r>
    </w:p>
    <w:p w14:paraId="44423A9C">
      <w:pPr>
        <w:pStyle w:val="4"/>
        <w:spacing w:before="0" w:after="0"/>
        <w:rPr>
          <w:rFonts w:hint="eastAsia"/>
          <w:color w:val="000000"/>
          <w:sz w:val="28"/>
          <w:highlight w:val="none"/>
          <w:u w:val="none"/>
        </w:rPr>
      </w:pPr>
      <w:bookmarkStart w:id="36" w:name="_Toc520356145"/>
      <w:bookmarkStart w:id="37" w:name="_Toc13425"/>
      <w:bookmarkStart w:id="38" w:name="_Toc32485"/>
      <w:bookmarkStart w:id="39" w:name="_Toc29718"/>
      <w:bookmarkStart w:id="40" w:name="_Toc1095"/>
      <w:bookmarkStart w:id="41" w:name="_Toc14223"/>
      <w:bookmarkStart w:id="42" w:name="_Toc6450"/>
      <w:bookmarkStart w:id="43" w:name="_Toc20526"/>
      <w:bookmarkStart w:id="44" w:name="_Toc15936"/>
      <w:bookmarkStart w:id="45" w:name="_Toc515647760"/>
      <w:r>
        <w:rPr>
          <w:rFonts w:hint="eastAsia"/>
          <w:color w:val="000000"/>
          <w:sz w:val="28"/>
          <w:highlight w:val="none"/>
          <w:u w:val="none"/>
        </w:rPr>
        <w:t>3.响应费用</w:t>
      </w:r>
      <w:bookmarkEnd w:id="36"/>
      <w:bookmarkEnd w:id="37"/>
      <w:bookmarkEnd w:id="38"/>
      <w:bookmarkEnd w:id="39"/>
      <w:bookmarkEnd w:id="40"/>
      <w:bookmarkEnd w:id="41"/>
      <w:bookmarkEnd w:id="42"/>
      <w:bookmarkEnd w:id="43"/>
      <w:bookmarkEnd w:id="44"/>
      <w:bookmarkEnd w:id="45"/>
    </w:p>
    <w:p w14:paraId="74E9A68E">
      <w:pPr>
        <w:ind w:firstLine="480" w:firstLineChars="200"/>
        <w:rPr>
          <w:rFonts w:hint="eastAsia" w:ascii="宋体" w:hAnsi="宋体" w:eastAsia="宋体" w:cs="宋体"/>
          <w:highlight w:val="none"/>
        </w:rPr>
      </w:pPr>
      <w:bookmarkStart w:id="46" w:name="_Toc13568"/>
      <w:bookmarkStart w:id="47" w:name="_Toc3884"/>
      <w:bookmarkStart w:id="48" w:name="_Toc6116"/>
      <w:bookmarkStart w:id="49" w:name="_Toc4463"/>
      <w:bookmarkStart w:id="50" w:name="_Toc13083"/>
      <w:bookmarkStart w:id="51" w:name="_Toc3312"/>
      <w:bookmarkStart w:id="52" w:name="_Toc7891"/>
      <w:bookmarkStart w:id="53" w:name="_Toc515647761"/>
      <w:r>
        <w:rPr>
          <w:rFonts w:hint="eastAsia" w:cs="宋体"/>
          <w:highlight w:val="none"/>
          <w:lang w:val="en-US" w:eastAsia="zh-CN"/>
        </w:rPr>
        <w:t>3.1</w:t>
      </w:r>
      <w:r>
        <w:rPr>
          <w:rFonts w:hint="eastAsia" w:ascii="宋体" w:hAnsi="宋体" w:eastAsia="宋体" w:cs="宋体"/>
          <w:highlight w:val="none"/>
        </w:rPr>
        <w:t>供应商自行踏勘现场。</w:t>
      </w:r>
    </w:p>
    <w:p w14:paraId="40B6B5C7">
      <w:pPr>
        <w:ind w:firstLine="480" w:firstLineChars="200"/>
        <w:rPr>
          <w:rFonts w:hint="eastAsia" w:ascii="宋体" w:hAnsi="宋体" w:eastAsia="宋体" w:cs="宋体"/>
          <w:highlight w:val="none"/>
        </w:rPr>
      </w:pPr>
      <w:r>
        <w:rPr>
          <w:rFonts w:hint="eastAsia" w:cs="宋体"/>
          <w:highlight w:val="none"/>
          <w:lang w:val="en-US" w:eastAsia="zh-CN"/>
        </w:rPr>
        <w:t>3.2</w:t>
      </w:r>
      <w:r>
        <w:rPr>
          <w:rFonts w:hint="eastAsia" w:ascii="宋体" w:hAnsi="宋体" w:eastAsia="宋体" w:cs="宋体"/>
          <w:highlight w:val="none"/>
        </w:rPr>
        <w:t>供应商踏勘现场发生的费用自理。</w:t>
      </w:r>
    </w:p>
    <w:p w14:paraId="04B2021D">
      <w:pPr>
        <w:ind w:firstLine="480" w:firstLineChars="200"/>
        <w:rPr>
          <w:rFonts w:hint="eastAsia" w:ascii="宋体" w:hAnsi="宋体" w:eastAsia="宋体" w:cs="宋体"/>
          <w:highlight w:val="none"/>
        </w:rPr>
      </w:pPr>
      <w:r>
        <w:rPr>
          <w:rFonts w:hint="eastAsia" w:cs="宋体"/>
          <w:highlight w:val="none"/>
          <w:lang w:val="en-US" w:eastAsia="zh-CN"/>
        </w:rPr>
        <w:t>3.3</w:t>
      </w:r>
      <w:r>
        <w:rPr>
          <w:rFonts w:hint="eastAsia" w:ascii="宋体" w:hAnsi="宋体" w:eastAsia="宋体" w:cs="宋体"/>
          <w:highlight w:val="none"/>
        </w:rPr>
        <w:t>供应商在踏勘现场中所发生的人员伤亡和财产损失由供应商负责。</w:t>
      </w:r>
    </w:p>
    <w:p w14:paraId="25F9EC7F">
      <w:pPr>
        <w:ind w:firstLine="480" w:firstLineChars="200"/>
        <w:rPr>
          <w:rFonts w:hint="eastAsia" w:ascii="宋体" w:hAnsi="宋体" w:eastAsia="宋体" w:cs="宋体"/>
          <w:highlight w:val="none"/>
        </w:rPr>
      </w:pPr>
      <w:r>
        <w:rPr>
          <w:rFonts w:hint="eastAsia" w:cs="宋体"/>
          <w:highlight w:val="none"/>
          <w:lang w:val="en-US" w:eastAsia="zh-CN"/>
        </w:rPr>
        <w:t>3.</w:t>
      </w:r>
      <w:r>
        <w:rPr>
          <w:rFonts w:hint="eastAsia" w:ascii="宋体" w:hAnsi="宋体" w:eastAsia="宋体" w:cs="宋体"/>
          <w:highlight w:val="none"/>
        </w:rPr>
        <w:t>4.</w:t>
      </w:r>
      <w:r>
        <w:rPr>
          <w:rFonts w:hint="eastAsia" w:ascii="宋体" w:hAnsi="宋体" w:eastAsia="宋体" w:cs="宋体"/>
          <w:highlight w:val="none"/>
          <w:lang w:val="en-US" w:eastAsia="zh-CN"/>
        </w:rPr>
        <w:t>供应商应了解</w:t>
      </w:r>
      <w:r>
        <w:rPr>
          <w:rFonts w:hint="eastAsia" w:ascii="宋体" w:hAnsi="宋体" w:eastAsia="宋体" w:cs="宋体"/>
          <w:highlight w:val="none"/>
        </w:rPr>
        <w:t>相关的周边环境情况，供应商在编制响应文件时参考，采购人不对供应商据此作出的判断和决策负责。</w:t>
      </w:r>
    </w:p>
    <w:p w14:paraId="5F816617">
      <w:pPr>
        <w:ind w:firstLine="480" w:firstLineChars="200"/>
        <w:rPr>
          <w:rFonts w:hint="eastAsia" w:ascii="宋体" w:hAnsi="宋体" w:eastAsia="宋体" w:cs="宋体"/>
          <w:highlight w:val="none"/>
        </w:rPr>
      </w:pPr>
      <w:r>
        <w:rPr>
          <w:rFonts w:hint="eastAsia"/>
          <w:highlight w:val="none"/>
        </w:rPr>
        <w:t>不论响应的结果如何，供应商应承担所有与准备和参加响应有关的费用。</w:t>
      </w:r>
    </w:p>
    <w:p w14:paraId="1C1B7F3A">
      <w:pPr>
        <w:pStyle w:val="4"/>
        <w:spacing w:before="0" w:after="0"/>
        <w:rPr>
          <w:rFonts w:hint="eastAsia"/>
          <w:color w:val="000000"/>
          <w:sz w:val="28"/>
          <w:highlight w:val="none"/>
          <w:u w:val="none"/>
        </w:rPr>
      </w:pPr>
      <w:bookmarkStart w:id="54" w:name="_Toc26619"/>
      <w:r>
        <w:rPr>
          <w:rFonts w:hint="eastAsia"/>
          <w:color w:val="000000"/>
          <w:sz w:val="28"/>
          <w:highlight w:val="none"/>
          <w:u w:val="none"/>
        </w:rPr>
        <w:t>4.适用法律</w:t>
      </w:r>
      <w:bookmarkEnd w:id="46"/>
      <w:bookmarkEnd w:id="47"/>
      <w:bookmarkEnd w:id="48"/>
      <w:bookmarkEnd w:id="49"/>
      <w:bookmarkEnd w:id="50"/>
      <w:bookmarkEnd w:id="51"/>
      <w:bookmarkEnd w:id="52"/>
      <w:bookmarkEnd w:id="53"/>
      <w:bookmarkEnd w:id="54"/>
    </w:p>
    <w:p w14:paraId="65ECA12B">
      <w:pPr>
        <w:ind w:firstLine="480" w:firstLineChars="200"/>
        <w:rPr>
          <w:rFonts w:hint="eastAsia"/>
          <w:highlight w:val="none"/>
        </w:rPr>
      </w:pPr>
      <w:r>
        <w:rPr>
          <w:rFonts w:hint="eastAsia"/>
          <w:highlight w:val="none"/>
        </w:rPr>
        <w:t>本项目采购人、采购代理机构、供应商、磋商小组的相关行为均受《中华人民共和国政府采购法》、《中华人民共和国政府采购法实施条例》</w:t>
      </w:r>
      <w:r>
        <w:rPr>
          <w:rFonts w:hint="eastAsia"/>
          <w:highlight w:val="none"/>
          <w:lang w:eastAsia="zh-CN"/>
        </w:rPr>
        <w:t>、《政府采购竞争性磋商采购方式管理暂行办法》</w:t>
      </w:r>
      <w:r>
        <w:rPr>
          <w:rFonts w:hint="eastAsia"/>
          <w:highlight w:val="none"/>
        </w:rPr>
        <w:t>及本项目本级和上级财政部门政府采购有关规定的约束和保护。</w:t>
      </w:r>
    </w:p>
    <w:p w14:paraId="41EFEB4D">
      <w:pPr>
        <w:spacing w:line="240" w:lineRule="atLeast"/>
        <w:rPr>
          <w:rFonts w:hint="eastAsia"/>
          <w:highlight w:val="none"/>
        </w:rPr>
      </w:pPr>
    </w:p>
    <w:p w14:paraId="2C22CC67">
      <w:pPr>
        <w:pStyle w:val="3"/>
        <w:rPr>
          <w:rFonts w:hint="eastAsia"/>
          <w:color w:val="000000"/>
          <w:highlight w:val="none"/>
        </w:rPr>
      </w:pPr>
      <w:bookmarkStart w:id="55" w:name="_Toc4826"/>
      <w:bookmarkStart w:id="56" w:name="_Toc21566"/>
      <w:bookmarkStart w:id="57" w:name="_Toc520356146"/>
      <w:bookmarkStart w:id="58" w:name="_Toc8121"/>
      <w:bookmarkStart w:id="59" w:name="_Toc216582806"/>
      <w:bookmarkStart w:id="60" w:name="_Toc3543"/>
      <w:bookmarkStart w:id="61" w:name="_Toc22497"/>
      <w:bookmarkStart w:id="62" w:name="_Toc4365"/>
      <w:bookmarkStart w:id="63" w:name="_Toc515647762"/>
      <w:bookmarkStart w:id="64" w:name="_Toc13649"/>
      <w:r>
        <w:rPr>
          <w:rFonts w:hint="eastAsia"/>
          <w:color w:val="000000"/>
          <w:highlight w:val="none"/>
        </w:rPr>
        <w:t>二、</w:t>
      </w:r>
      <w:bookmarkEnd w:id="55"/>
      <w:bookmarkEnd w:id="56"/>
      <w:bookmarkEnd w:id="57"/>
      <w:bookmarkEnd w:id="58"/>
      <w:bookmarkEnd w:id="59"/>
      <w:bookmarkEnd w:id="60"/>
      <w:bookmarkEnd w:id="61"/>
      <w:bookmarkEnd w:id="62"/>
      <w:bookmarkEnd w:id="63"/>
      <w:r>
        <w:rPr>
          <w:rFonts w:hint="eastAsia"/>
          <w:color w:val="000000"/>
          <w:highlight w:val="none"/>
        </w:rPr>
        <w:t>竞争性磋商文件</w:t>
      </w:r>
      <w:bookmarkEnd w:id="64"/>
    </w:p>
    <w:p w14:paraId="4E0866AE">
      <w:pPr>
        <w:pStyle w:val="4"/>
        <w:spacing w:before="0" w:after="0"/>
        <w:rPr>
          <w:rFonts w:hint="eastAsia"/>
          <w:color w:val="000000"/>
          <w:sz w:val="28"/>
          <w:highlight w:val="none"/>
          <w:u w:val="none"/>
        </w:rPr>
      </w:pPr>
      <w:bookmarkStart w:id="65" w:name="_Toc28170"/>
      <w:bookmarkStart w:id="66" w:name="_Toc14084"/>
      <w:bookmarkStart w:id="67" w:name="_Toc31910"/>
      <w:bookmarkStart w:id="68" w:name="_Toc520356147"/>
      <w:bookmarkStart w:id="69" w:name="_Toc515647763"/>
      <w:bookmarkStart w:id="70" w:name="_Toc25743"/>
      <w:bookmarkStart w:id="71" w:name="_Toc6702"/>
      <w:bookmarkStart w:id="72" w:name="_Toc26433"/>
      <w:bookmarkStart w:id="73" w:name="_Toc28810"/>
      <w:bookmarkStart w:id="74" w:name="_Toc13252"/>
      <w:r>
        <w:rPr>
          <w:rFonts w:hint="eastAsia"/>
          <w:color w:val="000000"/>
          <w:sz w:val="28"/>
          <w:highlight w:val="none"/>
          <w:u w:val="none"/>
        </w:rPr>
        <w:t>5.竞争性磋商文件构成</w:t>
      </w:r>
      <w:bookmarkEnd w:id="65"/>
      <w:bookmarkEnd w:id="66"/>
      <w:bookmarkEnd w:id="67"/>
      <w:bookmarkEnd w:id="68"/>
      <w:bookmarkEnd w:id="69"/>
      <w:bookmarkEnd w:id="70"/>
      <w:bookmarkEnd w:id="71"/>
      <w:bookmarkEnd w:id="72"/>
      <w:bookmarkEnd w:id="73"/>
      <w:bookmarkEnd w:id="74"/>
    </w:p>
    <w:p w14:paraId="33580431">
      <w:pPr>
        <w:ind w:firstLine="480" w:firstLineChars="200"/>
        <w:rPr>
          <w:rFonts w:hint="eastAsia"/>
          <w:highlight w:val="none"/>
        </w:rPr>
      </w:pPr>
      <w:r>
        <w:rPr>
          <w:rFonts w:hint="eastAsia"/>
          <w:highlight w:val="none"/>
        </w:rPr>
        <w:t>5.1竞争性磋商文件分为2册共7章，内容如下：</w:t>
      </w:r>
    </w:p>
    <w:p w14:paraId="52A5A39E">
      <w:pPr>
        <w:ind w:left="240" w:leftChars="100" w:firstLine="480" w:firstLineChars="200"/>
        <w:rPr>
          <w:rFonts w:hint="eastAsia"/>
          <w:highlight w:val="none"/>
        </w:rPr>
      </w:pPr>
      <w:r>
        <w:rPr>
          <w:rFonts w:hint="eastAsia"/>
          <w:highlight w:val="none"/>
        </w:rPr>
        <w:t>第一册</w:t>
      </w:r>
    </w:p>
    <w:p w14:paraId="3782B9BE">
      <w:pPr>
        <w:ind w:left="480" w:leftChars="200" w:firstLine="480" w:firstLineChars="200"/>
        <w:rPr>
          <w:rFonts w:hint="eastAsia"/>
          <w:highlight w:val="none"/>
        </w:rPr>
      </w:pPr>
      <w:r>
        <w:rPr>
          <w:rFonts w:hint="eastAsia"/>
          <w:highlight w:val="none"/>
        </w:rPr>
        <w:t>第1章 供应商须知</w:t>
      </w:r>
    </w:p>
    <w:p w14:paraId="2D1C8398">
      <w:pPr>
        <w:ind w:left="240" w:leftChars="100" w:firstLine="480" w:firstLineChars="200"/>
        <w:rPr>
          <w:rFonts w:hint="eastAsia"/>
          <w:highlight w:val="none"/>
        </w:rPr>
      </w:pPr>
      <w:r>
        <w:rPr>
          <w:rFonts w:hint="eastAsia"/>
          <w:highlight w:val="none"/>
        </w:rPr>
        <w:t>第二册</w:t>
      </w:r>
    </w:p>
    <w:p w14:paraId="39F12254">
      <w:pPr>
        <w:ind w:left="480" w:leftChars="200" w:firstLine="480" w:firstLineChars="200"/>
        <w:rPr>
          <w:rFonts w:hint="eastAsia"/>
          <w:highlight w:val="none"/>
        </w:rPr>
      </w:pPr>
      <w:r>
        <w:rPr>
          <w:rFonts w:hint="eastAsia"/>
          <w:highlight w:val="none"/>
        </w:rPr>
        <w:t>第2章 磋商公告</w:t>
      </w:r>
    </w:p>
    <w:p w14:paraId="72BECE9F">
      <w:pPr>
        <w:ind w:left="480" w:leftChars="200" w:firstLine="480" w:firstLineChars="200"/>
        <w:rPr>
          <w:rFonts w:hint="eastAsia"/>
          <w:highlight w:val="none"/>
        </w:rPr>
      </w:pPr>
      <w:r>
        <w:rPr>
          <w:rFonts w:hint="eastAsia"/>
          <w:highlight w:val="none"/>
        </w:rPr>
        <w:t>第3章 供应商须知资料表</w:t>
      </w:r>
    </w:p>
    <w:p w14:paraId="1D09AF5C">
      <w:pPr>
        <w:ind w:left="480" w:leftChars="200" w:firstLine="480" w:firstLineChars="200"/>
        <w:rPr>
          <w:rFonts w:hint="eastAsia"/>
          <w:highlight w:val="none"/>
        </w:rPr>
      </w:pPr>
      <w:r>
        <w:rPr>
          <w:rFonts w:hint="eastAsia"/>
          <w:highlight w:val="none"/>
        </w:rPr>
        <w:t>第4章 项目内容及要求</w:t>
      </w:r>
    </w:p>
    <w:p w14:paraId="1799312B">
      <w:pPr>
        <w:ind w:left="480" w:leftChars="200" w:firstLine="480" w:firstLineChars="200"/>
        <w:rPr>
          <w:rFonts w:hint="eastAsia"/>
          <w:highlight w:val="none"/>
        </w:rPr>
      </w:pPr>
      <w:r>
        <w:rPr>
          <w:rFonts w:hint="eastAsia"/>
          <w:highlight w:val="none"/>
        </w:rPr>
        <w:t>第5章 评审方法和标准</w:t>
      </w:r>
    </w:p>
    <w:p w14:paraId="6B0002CE">
      <w:pPr>
        <w:ind w:left="480" w:leftChars="200" w:firstLine="480" w:firstLineChars="200"/>
        <w:rPr>
          <w:rFonts w:hint="eastAsia"/>
          <w:highlight w:val="none"/>
        </w:rPr>
      </w:pPr>
      <w:r>
        <w:rPr>
          <w:rFonts w:hint="eastAsia"/>
          <w:highlight w:val="none"/>
        </w:rPr>
        <w:t>第6章 响应文件格式</w:t>
      </w:r>
    </w:p>
    <w:p w14:paraId="7A787DE9">
      <w:pPr>
        <w:tabs>
          <w:tab w:val="left" w:pos="771"/>
        </w:tabs>
        <w:ind w:left="240" w:leftChars="100" w:firstLine="720" w:firstLineChars="300"/>
        <w:rPr>
          <w:rFonts w:hint="eastAsia"/>
          <w:highlight w:val="none"/>
        </w:rPr>
      </w:pPr>
      <w:r>
        <w:rPr>
          <w:rFonts w:hint="eastAsia"/>
          <w:highlight w:val="none"/>
        </w:rPr>
        <w:t>第7章 政府采购合同格式</w:t>
      </w:r>
    </w:p>
    <w:p w14:paraId="7B835531">
      <w:pPr>
        <w:ind w:firstLine="480" w:firstLineChars="200"/>
        <w:rPr>
          <w:rFonts w:hint="eastAsia"/>
          <w:highlight w:val="none"/>
        </w:rPr>
      </w:pPr>
      <w:r>
        <w:rPr>
          <w:rFonts w:hint="eastAsia"/>
          <w:highlight w:val="none"/>
        </w:rPr>
        <w:t>5.2竞争性磋商文件中有不一致的，有澄清的部分以最终的澄清更正内容为准；未澄清的，以供应商须知资料表为准；供应商须知资料表不涉及的内容，以编排在后的描述为准。</w:t>
      </w:r>
    </w:p>
    <w:p w14:paraId="78683B3F">
      <w:pPr>
        <w:ind w:firstLine="480" w:firstLineChars="200"/>
        <w:rPr>
          <w:rFonts w:hint="eastAsia"/>
          <w:highlight w:val="none"/>
        </w:rPr>
      </w:pPr>
      <w:r>
        <w:rPr>
          <w:rFonts w:hint="eastAsia"/>
          <w:highlight w:val="none"/>
        </w:rPr>
        <w:t>5.3供应商应认真阅读竞争性磋商文件所有的事项、格式、条款和技术规范等。如供应商没有按照竞争性磋商文件要求提交全部资料，或者响应文件没有对竞争性磋商文件在各方面都做出实质性响应，可能导致其响应文件将被认定为无效，该风险由供应商承担。</w:t>
      </w:r>
    </w:p>
    <w:p w14:paraId="51B5E93B">
      <w:pPr>
        <w:ind w:firstLine="480" w:firstLineChars="200"/>
        <w:rPr>
          <w:rFonts w:hint="eastAsia"/>
          <w:highlight w:val="none"/>
        </w:rPr>
      </w:pPr>
      <w:bookmarkStart w:id="75" w:name="_Toc520356148"/>
      <w:bookmarkStart w:id="76" w:name="_Toc515904805"/>
      <w:bookmarkStart w:id="77" w:name="_Toc9232"/>
      <w:bookmarkStart w:id="78" w:name="_Toc26044"/>
      <w:r>
        <w:rPr>
          <w:rFonts w:hint="eastAsia"/>
          <w:highlight w:val="none"/>
        </w:rPr>
        <w:t>5.4现场踏勘或者答疑会及相关事项见供应商须知资料表。</w:t>
      </w:r>
    </w:p>
    <w:p w14:paraId="4AC15453">
      <w:pPr>
        <w:ind w:firstLine="480" w:firstLineChars="200"/>
        <w:rPr>
          <w:rFonts w:hint="eastAsia"/>
          <w:highlight w:val="none"/>
        </w:rPr>
      </w:pPr>
      <w:r>
        <w:rPr>
          <w:rFonts w:hint="eastAsia"/>
          <w:highlight w:val="none"/>
        </w:rPr>
        <w:t>5.5不论响应过程和响应文件结果如何，供应商的响应文件均不退还。</w:t>
      </w:r>
    </w:p>
    <w:p w14:paraId="75CCD076">
      <w:pPr>
        <w:ind w:firstLine="480" w:firstLineChars="200"/>
        <w:rPr>
          <w:rFonts w:hint="eastAsia"/>
          <w:highlight w:val="none"/>
        </w:rPr>
      </w:pPr>
      <w:r>
        <w:rPr>
          <w:rFonts w:hint="eastAsia"/>
          <w:highlight w:val="none"/>
        </w:rPr>
        <w:t>5.6除响应文件中另有规定外，响应文件所使用的时间单位“天”、“日”均指日历天，且所有时刻均为北京时间。</w:t>
      </w:r>
    </w:p>
    <w:p w14:paraId="4D6636AD">
      <w:pPr>
        <w:ind w:firstLine="480" w:firstLineChars="200"/>
        <w:rPr>
          <w:rFonts w:hint="eastAsia"/>
          <w:highlight w:val="none"/>
        </w:rPr>
      </w:pPr>
      <w:r>
        <w:rPr>
          <w:rFonts w:hint="eastAsia"/>
          <w:highlight w:val="none"/>
        </w:rPr>
        <w:t>5.7参与采购活动的各方应对响应文件和响应文件中的商业和技术等秘密保密，违者应对由此造成的后果承担法律责任。</w:t>
      </w:r>
    </w:p>
    <w:p w14:paraId="654C75C5">
      <w:pPr>
        <w:ind w:firstLine="480" w:firstLineChars="200"/>
        <w:rPr>
          <w:rFonts w:hint="eastAsia"/>
          <w:highlight w:val="none"/>
        </w:rPr>
      </w:pPr>
      <w:r>
        <w:rPr>
          <w:rFonts w:hint="eastAsia"/>
          <w:highlight w:val="none"/>
        </w:rPr>
        <w:t>5.8供应商应自行承担其准备和参加响应文件活动发生的所有费用。不论响应文件结果如何，采购人及采购代理机构在任何情况下无义务也无责任承担这些费用。</w:t>
      </w:r>
    </w:p>
    <w:p w14:paraId="414EE820">
      <w:pPr>
        <w:pStyle w:val="4"/>
        <w:spacing w:before="0" w:after="0"/>
        <w:rPr>
          <w:rFonts w:hint="eastAsia"/>
          <w:color w:val="000000"/>
          <w:sz w:val="28"/>
          <w:highlight w:val="none"/>
          <w:u w:val="none"/>
        </w:rPr>
      </w:pPr>
      <w:bookmarkStart w:id="79" w:name="_Toc9401"/>
      <w:bookmarkStart w:id="80" w:name="_Toc25495"/>
      <w:bookmarkStart w:id="81" w:name="_Toc12903"/>
      <w:bookmarkStart w:id="82" w:name="_Toc12614"/>
      <w:bookmarkStart w:id="83" w:name="_Toc28899"/>
      <w:bookmarkStart w:id="84" w:name="_Toc21195"/>
      <w:r>
        <w:rPr>
          <w:rFonts w:hint="eastAsia"/>
          <w:color w:val="000000"/>
          <w:sz w:val="28"/>
          <w:highlight w:val="none"/>
          <w:u w:val="none"/>
        </w:rPr>
        <w:t>6.竞争性磋商文件的澄清</w:t>
      </w:r>
      <w:bookmarkEnd w:id="75"/>
      <w:bookmarkEnd w:id="76"/>
      <w:r>
        <w:rPr>
          <w:rFonts w:hint="eastAsia"/>
          <w:color w:val="000000"/>
          <w:sz w:val="28"/>
          <w:highlight w:val="none"/>
          <w:u w:val="none"/>
        </w:rPr>
        <w:t>与修改</w:t>
      </w:r>
      <w:bookmarkEnd w:id="77"/>
      <w:bookmarkEnd w:id="78"/>
      <w:bookmarkEnd w:id="79"/>
      <w:bookmarkEnd w:id="80"/>
      <w:bookmarkEnd w:id="81"/>
      <w:bookmarkEnd w:id="82"/>
      <w:bookmarkEnd w:id="83"/>
      <w:bookmarkEnd w:id="84"/>
    </w:p>
    <w:p w14:paraId="0B2BDA23">
      <w:pPr>
        <w:ind w:firstLine="480" w:firstLineChars="200"/>
        <w:rPr>
          <w:rFonts w:hint="eastAsia"/>
          <w:highlight w:val="none"/>
        </w:rPr>
      </w:pPr>
      <w:bookmarkStart w:id="85" w:name="_Toc515904806"/>
      <w:bookmarkStart w:id="86" w:name="_Toc520356149"/>
      <w:bookmarkStart w:id="87" w:name="_Ref467378678"/>
      <w:bookmarkStart w:id="88" w:name="_Toc25635"/>
      <w:bookmarkStart w:id="89" w:name="_Toc14569"/>
      <w:r>
        <w:rPr>
          <w:rFonts w:hint="eastAsia"/>
          <w:highlight w:val="none"/>
        </w:rPr>
        <w:t>6.1采购人可主动地或在解答供应商提出的澄清问题时对竞争性磋商文件澄清或修改。采购代理机构将以发布澄清（更正）公告的方式，澄清或修改竞争性磋商文件，澄清或修改内容作为竞争性磋商文件的组成部分。</w:t>
      </w:r>
    </w:p>
    <w:p w14:paraId="2C5C2145">
      <w:pPr>
        <w:ind w:firstLine="480" w:firstLineChars="200"/>
        <w:rPr>
          <w:rFonts w:hint="eastAsia"/>
          <w:highlight w:val="none"/>
        </w:rPr>
      </w:pPr>
      <w:r>
        <w:rPr>
          <w:rFonts w:hint="eastAsia"/>
          <w:highlight w:val="none"/>
        </w:rPr>
        <w:t>6.2澄清或者修改的内容可能影响响应文件编制的，采购代理机构</w:t>
      </w:r>
      <w:r>
        <w:rPr>
          <w:rFonts w:hint="eastAsia"/>
          <w:highlight w:val="none"/>
          <w:lang w:val="en-GB"/>
        </w:rPr>
        <w:t>应当在报价截止时间至少</w:t>
      </w:r>
      <w:r>
        <w:rPr>
          <w:rFonts w:hint="eastAsia"/>
          <w:highlight w:val="none"/>
        </w:rPr>
        <w:t>5</w:t>
      </w:r>
      <w:r>
        <w:rPr>
          <w:rFonts w:hint="eastAsia"/>
          <w:highlight w:val="none"/>
          <w:lang w:val="en-GB"/>
        </w:rPr>
        <w:t>日前，</w:t>
      </w:r>
      <w:r>
        <w:rPr>
          <w:rFonts w:hint="eastAsia"/>
          <w:highlight w:val="none"/>
        </w:rPr>
        <w:t>将以书面或公告等形式通知所有获取竞争性磋商文件的潜在供应商，并对其具有约束力。供应商在收到上述通知后，应及时向采购代理机构回函确认。供应商未回复的，视同已知晓澄清或者修改的内容。</w:t>
      </w:r>
    </w:p>
    <w:p w14:paraId="65752284">
      <w:pPr>
        <w:ind w:firstLine="480" w:firstLineChars="200"/>
        <w:rPr>
          <w:rFonts w:hint="eastAsia"/>
          <w:highlight w:val="none"/>
        </w:rPr>
      </w:pPr>
      <w:r>
        <w:rPr>
          <w:rFonts w:hint="eastAsia"/>
          <w:highlight w:val="none"/>
        </w:rPr>
        <w:t>因潜在供应商原因或通讯线路故障导致逾期送达或无法送达，采购代理机构不因此承担任何责任，有关的磋商采购活动可以继续有效进行。</w:t>
      </w:r>
    </w:p>
    <w:p w14:paraId="59BA029C">
      <w:pPr>
        <w:ind w:firstLine="480" w:firstLineChars="200"/>
        <w:rPr>
          <w:rFonts w:hint="eastAsia"/>
          <w:highlight w:val="none"/>
        </w:rPr>
      </w:pPr>
      <w:r>
        <w:rPr>
          <w:rFonts w:hint="eastAsia"/>
          <w:highlight w:val="none"/>
        </w:rPr>
        <w:t>6.3供应商认为响应文件存在歧视性条款或不合理要求等需要澄清的，应在规定时间内一次性全部提出。如在规定时间内，供应商对响应文件中的各项条款未提出异议，即认为同意和接受响应文件。</w:t>
      </w:r>
    </w:p>
    <w:p w14:paraId="500300A6">
      <w:pPr>
        <w:pStyle w:val="4"/>
        <w:spacing w:before="0" w:after="0"/>
        <w:rPr>
          <w:rFonts w:hint="eastAsia"/>
          <w:color w:val="000000"/>
          <w:sz w:val="28"/>
          <w:highlight w:val="none"/>
          <w:u w:val="none"/>
        </w:rPr>
      </w:pPr>
      <w:bookmarkStart w:id="90" w:name="_Toc17270"/>
      <w:bookmarkStart w:id="91" w:name="_Toc7912"/>
      <w:bookmarkStart w:id="92" w:name="_Toc29634"/>
      <w:bookmarkStart w:id="93" w:name="_Toc18311"/>
      <w:bookmarkStart w:id="94" w:name="_Toc26192"/>
      <w:bookmarkStart w:id="95" w:name="_Toc187"/>
      <w:r>
        <w:rPr>
          <w:rFonts w:hint="eastAsia"/>
          <w:color w:val="000000"/>
          <w:sz w:val="28"/>
          <w:highlight w:val="none"/>
          <w:u w:val="none"/>
        </w:rPr>
        <w:t>7</w:t>
      </w:r>
      <w:bookmarkEnd w:id="85"/>
      <w:bookmarkEnd w:id="86"/>
      <w:bookmarkEnd w:id="87"/>
      <w:r>
        <w:rPr>
          <w:rFonts w:hint="eastAsia"/>
          <w:color w:val="000000"/>
          <w:sz w:val="28"/>
          <w:highlight w:val="none"/>
          <w:u w:val="none"/>
        </w:rPr>
        <w:t>.提交响应文件截止时间的顺延</w:t>
      </w:r>
      <w:bookmarkEnd w:id="88"/>
      <w:bookmarkEnd w:id="89"/>
      <w:bookmarkEnd w:id="90"/>
      <w:bookmarkEnd w:id="91"/>
      <w:bookmarkEnd w:id="92"/>
      <w:bookmarkEnd w:id="93"/>
      <w:bookmarkEnd w:id="94"/>
      <w:bookmarkEnd w:id="95"/>
    </w:p>
    <w:p w14:paraId="1E3CC250">
      <w:pPr>
        <w:ind w:firstLine="480" w:firstLineChars="200"/>
        <w:rPr>
          <w:rFonts w:hint="eastAsia"/>
          <w:highlight w:val="none"/>
        </w:rPr>
      </w:pPr>
      <w:r>
        <w:rPr>
          <w:rFonts w:hint="eastAsia"/>
          <w:highlight w:val="none"/>
        </w:rPr>
        <w:t>为使供应商准备响应时有足够的时间对竞争性磋商文件的澄清或者修改部分进行研究，采购人将依法决定是否顺延提交响应文件截止时间。</w:t>
      </w:r>
    </w:p>
    <w:p w14:paraId="1BF74105">
      <w:pPr>
        <w:spacing w:line="240" w:lineRule="atLeast"/>
        <w:ind w:left="900" w:hanging="900" w:hangingChars="375"/>
        <w:rPr>
          <w:rFonts w:hint="eastAsia"/>
          <w:highlight w:val="none"/>
        </w:rPr>
      </w:pPr>
    </w:p>
    <w:p w14:paraId="77861B01">
      <w:pPr>
        <w:pStyle w:val="3"/>
        <w:rPr>
          <w:rFonts w:hint="eastAsia"/>
          <w:color w:val="000000"/>
          <w:highlight w:val="none"/>
        </w:rPr>
      </w:pPr>
      <w:bookmarkStart w:id="96" w:name="_Toc516367020"/>
      <w:bookmarkStart w:id="97" w:name="_Toc8372"/>
      <w:bookmarkStart w:id="98" w:name="_Toc520356150"/>
      <w:bookmarkStart w:id="99" w:name="_Toc515647766"/>
      <w:bookmarkStart w:id="100" w:name="_Toc30808"/>
      <w:bookmarkStart w:id="101" w:name="_Toc7636"/>
      <w:bookmarkStart w:id="102" w:name="_Toc25725"/>
      <w:bookmarkStart w:id="103" w:name="_Toc216582807"/>
      <w:bookmarkStart w:id="104" w:name="_Toc20885"/>
      <w:bookmarkStart w:id="105" w:name="_Toc18189"/>
      <w:bookmarkStart w:id="106" w:name="_Toc16500"/>
      <w:r>
        <w:rPr>
          <w:rFonts w:hint="eastAsia"/>
          <w:color w:val="000000"/>
          <w:highlight w:val="none"/>
        </w:rPr>
        <w:t>三、响应文件</w:t>
      </w:r>
      <w:bookmarkEnd w:id="96"/>
      <w:r>
        <w:rPr>
          <w:rFonts w:hint="eastAsia"/>
          <w:color w:val="000000"/>
          <w:highlight w:val="none"/>
        </w:rPr>
        <w:t>的编制</w:t>
      </w:r>
      <w:bookmarkEnd w:id="97"/>
      <w:bookmarkEnd w:id="98"/>
      <w:bookmarkEnd w:id="99"/>
      <w:bookmarkEnd w:id="100"/>
      <w:bookmarkEnd w:id="101"/>
      <w:bookmarkEnd w:id="102"/>
      <w:bookmarkEnd w:id="103"/>
      <w:bookmarkEnd w:id="104"/>
      <w:bookmarkEnd w:id="105"/>
      <w:bookmarkEnd w:id="106"/>
    </w:p>
    <w:p w14:paraId="6EC6EC6C">
      <w:pPr>
        <w:pStyle w:val="4"/>
        <w:spacing w:before="0" w:after="0"/>
        <w:rPr>
          <w:rFonts w:hint="eastAsia"/>
          <w:color w:val="000000"/>
          <w:sz w:val="28"/>
          <w:highlight w:val="none"/>
          <w:u w:val="none"/>
        </w:rPr>
      </w:pPr>
      <w:bookmarkStart w:id="107" w:name="_Toc10936"/>
      <w:bookmarkStart w:id="108" w:name="_Toc4893"/>
      <w:bookmarkStart w:id="109" w:name="_Toc8602"/>
      <w:bookmarkStart w:id="110" w:name="_Toc51176589"/>
      <w:bookmarkStart w:id="111" w:name="_Toc29479"/>
      <w:bookmarkStart w:id="112" w:name="_Toc19353"/>
      <w:bookmarkStart w:id="113" w:name="_Toc32515"/>
      <w:r>
        <w:rPr>
          <w:rFonts w:hint="eastAsia"/>
          <w:color w:val="000000"/>
          <w:sz w:val="28"/>
          <w:highlight w:val="none"/>
          <w:u w:val="none"/>
        </w:rPr>
        <w:t>8.编制要求</w:t>
      </w:r>
      <w:bookmarkEnd w:id="107"/>
      <w:bookmarkEnd w:id="108"/>
      <w:bookmarkEnd w:id="109"/>
      <w:bookmarkEnd w:id="110"/>
      <w:bookmarkEnd w:id="111"/>
      <w:bookmarkEnd w:id="112"/>
      <w:bookmarkEnd w:id="113"/>
    </w:p>
    <w:p w14:paraId="6068DD33">
      <w:pPr>
        <w:ind w:firstLine="480" w:firstLineChars="200"/>
        <w:rPr>
          <w:rFonts w:hint="eastAsia"/>
          <w:highlight w:val="none"/>
        </w:rPr>
      </w:pPr>
      <w:r>
        <w:rPr>
          <w:rFonts w:hint="eastAsia"/>
          <w:highlight w:val="none"/>
        </w:rPr>
        <w:t>8.1供应商应仔细阅读竞争性磋商文件的所有内容，按照竞争性磋商文件的要求及格式编制响应文件，并保证其真实性。若供应商没有按照竞争性磋商文件要求提交全部实质性要求资料或对实质性要求未作响应是供应商的风险，其响应文件将会被拒绝。</w:t>
      </w:r>
    </w:p>
    <w:p w14:paraId="31FAD202">
      <w:pPr>
        <w:ind w:firstLine="480" w:firstLineChars="200"/>
        <w:rPr>
          <w:rFonts w:hint="eastAsia"/>
          <w:highlight w:val="none"/>
        </w:rPr>
      </w:pPr>
      <w:r>
        <w:rPr>
          <w:rFonts w:hint="eastAsia"/>
          <w:highlight w:val="none"/>
        </w:rPr>
        <w:t>8.2供应商应按响应文件的要求及格式编写其响应文件；不得缺少或留空任何响应文件要求填写的表格或资料。</w:t>
      </w:r>
    </w:p>
    <w:p w14:paraId="7E576074">
      <w:pPr>
        <w:ind w:firstLine="480" w:firstLineChars="200"/>
        <w:rPr>
          <w:rFonts w:hint="eastAsia"/>
          <w:highlight w:val="none"/>
        </w:rPr>
      </w:pPr>
      <w:r>
        <w:rPr>
          <w:rFonts w:hint="eastAsia"/>
          <w:highlight w:val="none"/>
        </w:rPr>
        <w:t>8.3供应商应编制响应文件目录、内容，标注连续页码。</w:t>
      </w:r>
    </w:p>
    <w:p w14:paraId="791C3826">
      <w:pPr>
        <w:pStyle w:val="4"/>
        <w:spacing w:before="0" w:after="0"/>
        <w:rPr>
          <w:rFonts w:hint="eastAsia"/>
          <w:color w:val="000000"/>
          <w:sz w:val="28"/>
          <w:highlight w:val="none"/>
          <w:u w:val="none"/>
        </w:rPr>
      </w:pPr>
      <w:bookmarkStart w:id="114" w:name="_Toc3553"/>
      <w:bookmarkStart w:id="115" w:name="_Toc5500"/>
      <w:bookmarkStart w:id="116" w:name="_Toc515647767"/>
      <w:bookmarkStart w:id="117" w:name="_Toc7786"/>
      <w:bookmarkStart w:id="118" w:name="_Toc30071"/>
      <w:bookmarkStart w:id="119" w:name="_Toc5542"/>
      <w:bookmarkStart w:id="120" w:name="_Toc516367021"/>
      <w:bookmarkStart w:id="121" w:name="_Toc26483"/>
      <w:bookmarkStart w:id="122" w:name="_Toc520356151"/>
      <w:bookmarkStart w:id="123" w:name="_Toc23124"/>
      <w:bookmarkStart w:id="124" w:name="_Toc13592"/>
      <w:r>
        <w:rPr>
          <w:rFonts w:hint="eastAsia"/>
          <w:color w:val="000000"/>
          <w:sz w:val="28"/>
          <w:highlight w:val="none"/>
          <w:u w:val="none"/>
        </w:rPr>
        <w:t>9.响应范围及响应文件中标准和计量单位的使用</w:t>
      </w:r>
      <w:bookmarkEnd w:id="114"/>
      <w:bookmarkEnd w:id="115"/>
      <w:bookmarkEnd w:id="116"/>
      <w:bookmarkEnd w:id="117"/>
      <w:bookmarkEnd w:id="118"/>
      <w:bookmarkEnd w:id="119"/>
      <w:bookmarkEnd w:id="120"/>
      <w:bookmarkEnd w:id="121"/>
      <w:bookmarkEnd w:id="122"/>
      <w:bookmarkEnd w:id="123"/>
      <w:bookmarkEnd w:id="124"/>
    </w:p>
    <w:p w14:paraId="4AA30D4E">
      <w:pPr>
        <w:ind w:firstLine="480" w:firstLineChars="200"/>
        <w:rPr>
          <w:rFonts w:hint="eastAsia"/>
          <w:highlight w:val="none"/>
        </w:rPr>
      </w:pPr>
      <w:bookmarkStart w:id="125" w:name="_Ref467306195"/>
      <w:bookmarkStart w:id="126" w:name="_Toc516367022"/>
      <w:bookmarkStart w:id="127" w:name="_Ref467306676"/>
      <w:bookmarkStart w:id="128" w:name="_Toc10364"/>
      <w:bookmarkStart w:id="129" w:name="_Toc520356152"/>
      <w:bookmarkStart w:id="130" w:name="_Toc28307"/>
      <w:bookmarkStart w:id="131" w:name="_Toc515647768"/>
      <w:r>
        <w:rPr>
          <w:rFonts w:hint="eastAsia"/>
          <w:highlight w:val="none"/>
        </w:rPr>
        <w:t>9.1供应商应当对竞争性磋商文件中“项目内容及要求”所列的所有内容进行响应，如仅响应部分内容，其响应文件将被认定为无效。</w:t>
      </w:r>
    </w:p>
    <w:p w14:paraId="6C423AC8">
      <w:pPr>
        <w:ind w:firstLine="480" w:firstLineChars="200"/>
        <w:rPr>
          <w:rFonts w:hint="eastAsia"/>
          <w:highlight w:val="none"/>
        </w:rPr>
      </w:pPr>
      <w:r>
        <w:rPr>
          <w:rFonts w:hint="eastAsia"/>
          <w:highlight w:val="none"/>
        </w:rPr>
        <w:t>9.2无论竞争性磋商文件“项目内容及要求”中是否要求，供应商所提供服务(含货物)均应符合国家强制性标准。</w:t>
      </w:r>
    </w:p>
    <w:p w14:paraId="43D5F581">
      <w:pPr>
        <w:ind w:firstLine="480" w:firstLineChars="200"/>
        <w:rPr>
          <w:rFonts w:hint="eastAsia"/>
          <w:highlight w:val="none"/>
        </w:rPr>
      </w:pPr>
      <w:r>
        <w:rPr>
          <w:rFonts w:hint="eastAsia"/>
          <w:highlight w:val="none"/>
        </w:rPr>
        <w:t>9.3除竞争性磋商文件中有特殊要求外，响应文件中所使用的计量单位，应采用中华人民共和国法定计量单位。</w:t>
      </w:r>
    </w:p>
    <w:p w14:paraId="0238309B">
      <w:pPr>
        <w:pStyle w:val="4"/>
        <w:spacing w:before="0" w:after="0"/>
        <w:rPr>
          <w:rFonts w:hint="eastAsia"/>
          <w:color w:val="000000"/>
          <w:sz w:val="28"/>
          <w:highlight w:val="none"/>
          <w:u w:val="none"/>
        </w:rPr>
      </w:pPr>
      <w:bookmarkStart w:id="132" w:name="_Toc17658"/>
      <w:bookmarkStart w:id="133" w:name="_Toc10511"/>
      <w:bookmarkStart w:id="134" w:name="_Toc26723"/>
      <w:bookmarkStart w:id="135" w:name="_Toc1738"/>
      <w:bookmarkStart w:id="136" w:name="_Toc18250"/>
      <w:bookmarkStart w:id="137" w:name="_Toc4320"/>
      <w:r>
        <w:rPr>
          <w:rFonts w:hint="eastAsia"/>
          <w:color w:val="000000"/>
          <w:sz w:val="28"/>
          <w:highlight w:val="none"/>
          <w:u w:val="none"/>
        </w:rPr>
        <w:t>10.响应文件</w:t>
      </w:r>
      <w:bookmarkEnd w:id="125"/>
      <w:bookmarkEnd w:id="126"/>
      <w:bookmarkEnd w:id="127"/>
      <w:r>
        <w:rPr>
          <w:rFonts w:hint="eastAsia"/>
          <w:color w:val="000000"/>
          <w:sz w:val="28"/>
          <w:highlight w:val="none"/>
          <w:u w:val="none"/>
        </w:rPr>
        <w:t>构成</w:t>
      </w:r>
      <w:bookmarkEnd w:id="128"/>
      <w:bookmarkEnd w:id="129"/>
      <w:bookmarkEnd w:id="130"/>
      <w:bookmarkEnd w:id="131"/>
      <w:bookmarkEnd w:id="132"/>
      <w:bookmarkEnd w:id="133"/>
      <w:bookmarkEnd w:id="134"/>
      <w:bookmarkEnd w:id="135"/>
      <w:bookmarkEnd w:id="136"/>
      <w:bookmarkEnd w:id="137"/>
    </w:p>
    <w:p w14:paraId="40AD5C83">
      <w:pPr>
        <w:ind w:firstLine="480" w:firstLineChars="200"/>
        <w:rPr>
          <w:rFonts w:hint="eastAsia"/>
          <w:highlight w:val="none"/>
        </w:rPr>
      </w:pPr>
      <w:bookmarkStart w:id="138" w:name="_Ref467052588"/>
      <w:r>
        <w:rPr>
          <w:rFonts w:hint="eastAsia"/>
          <w:highlight w:val="none"/>
        </w:rPr>
        <w:t>10.1供应商应完整地按竞争性磋商文件提供的响应文件格式及要求编写响应文件。竞争性磋商文件中资格审查和符合性审查涉及的事项不满足竞争性磋商文件要求的，其响应文件将被认定为无效。</w:t>
      </w:r>
    </w:p>
    <w:p w14:paraId="55C2DBE4">
      <w:pPr>
        <w:ind w:firstLine="480" w:firstLineChars="200"/>
        <w:rPr>
          <w:rFonts w:hint="eastAsia"/>
          <w:highlight w:val="none"/>
        </w:rPr>
      </w:pPr>
      <w:r>
        <w:rPr>
          <w:rFonts w:hint="eastAsia"/>
          <w:highlight w:val="none"/>
        </w:rPr>
        <w:t>10.2供应商提交的响应文件应包含以下各个部分，具体组成内容见第6章响应文件格式。</w:t>
      </w:r>
    </w:p>
    <w:p w14:paraId="2F7AA38E">
      <w:pPr>
        <w:ind w:left="240" w:leftChars="100" w:firstLine="482" w:firstLineChars="200"/>
        <w:rPr>
          <w:rFonts w:hint="eastAsia"/>
          <w:b/>
          <w:bCs/>
          <w:highlight w:val="none"/>
        </w:rPr>
      </w:pPr>
      <w:r>
        <w:rPr>
          <w:rFonts w:hint="eastAsia"/>
          <w:b/>
          <w:bCs/>
          <w:highlight w:val="none"/>
        </w:rPr>
        <w:t>10.2.1报价部分</w:t>
      </w:r>
    </w:p>
    <w:p w14:paraId="0EE13D61">
      <w:pPr>
        <w:ind w:left="240" w:leftChars="100" w:firstLine="482" w:firstLineChars="200"/>
        <w:rPr>
          <w:rFonts w:hint="eastAsia"/>
          <w:b/>
          <w:bCs/>
          <w:highlight w:val="none"/>
        </w:rPr>
      </w:pPr>
      <w:r>
        <w:rPr>
          <w:rFonts w:hint="eastAsia"/>
          <w:b/>
          <w:bCs/>
          <w:highlight w:val="none"/>
        </w:rPr>
        <w:t>10.2.2商务部分（含资信）</w:t>
      </w:r>
    </w:p>
    <w:p w14:paraId="71FC6DF4">
      <w:pPr>
        <w:ind w:firstLine="720" w:firstLineChars="300"/>
        <w:rPr>
          <w:rFonts w:hint="eastAsia"/>
          <w:highlight w:val="none"/>
        </w:rPr>
      </w:pPr>
      <w:r>
        <w:rPr>
          <w:rFonts w:hint="eastAsia"/>
          <w:highlight w:val="none"/>
          <w:lang w:val="en-US" w:eastAsia="zh-CN"/>
        </w:rPr>
        <w:t>10.2.2.1</w:t>
      </w:r>
      <w:r>
        <w:rPr>
          <w:rFonts w:hint="eastAsia"/>
          <w:highlight w:val="none"/>
        </w:rPr>
        <w:t>供应商须对提交的资格证明真实性、有效性、完整性负责，并保证无不诚信记录。</w:t>
      </w:r>
    </w:p>
    <w:p w14:paraId="7C1320EC">
      <w:pPr>
        <w:ind w:firstLine="720" w:firstLineChars="300"/>
        <w:rPr>
          <w:rFonts w:hint="eastAsia"/>
          <w:highlight w:val="none"/>
        </w:rPr>
      </w:pPr>
      <w:r>
        <w:rPr>
          <w:rFonts w:hint="eastAsia"/>
          <w:highlight w:val="none"/>
          <w:lang w:val="en-US" w:eastAsia="zh-CN"/>
        </w:rPr>
        <w:t>10.2.2.2</w:t>
      </w:r>
      <w:r>
        <w:rPr>
          <w:rFonts w:hint="eastAsia"/>
          <w:highlight w:val="none"/>
        </w:rPr>
        <w:t>资格证明的字迹、印章必须完整、清晰，否则其响应文件将会被拒绝。</w:t>
      </w:r>
    </w:p>
    <w:p w14:paraId="04E30489">
      <w:pPr>
        <w:ind w:left="240" w:leftChars="100" w:firstLine="482" w:firstLineChars="200"/>
        <w:rPr>
          <w:rFonts w:hint="eastAsia"/>
          <w:b/>
          <w:bCs/>
          <w:highlight w:val="none"/>
        </w:rPr>
      </w:pPr>
      <w:r>
        <w:rPr>
          <w:rFonts w:hint="eastAsia"/>
          <w:b/>
          <w:bCs/>
          <w:highlight w:val="none"/>
        </w:rPr>
        <w:t>10.2.3技术部分</w:t>
      </w:r>
    </w:p>
    <w:bookmarkEnd w:id="138"/>
    <w:p w14:paraId="1431A68E">
      <w:pPr>
        <w:pStyle w:val="4"/>
        <w:spacing w:before="0" w:after="0"/>
        <w:rPr>
          <w:rFonts w:hint="eastAsia"/>
          <w:color w:val="000000"/>
          <w:sz w:val="28"/>
          <w:highlight w:val="none"/>
          <w:u w:val="none"/>
        </w:rPr>
      </w:pPr>
      <w:bookmarkStart w:id="139" w:name="_Toc515647770"/>
      <w:bookmarkStart w:id="140" w:name="_Toc23231"/>
      <w:bookmarkStart w:id="141" w:name="_Toc520356155"/>
      <w:bookmarkStart w:id="142" w:name="_Toc2248"/>
      <w:bookmarkStart w:id="143" w:name="_Toc27115"/>
      <w:bookmarkStart w:id="144" w:name="_Toc31657"/>
      <w:bookmarkStart w:id="145" w:name="_Toc24698"/>
      <w:bookmarkStart w:id="146" w:name="_Toc18588"/>
      <w:bookmarkStart w:id="147" w:name="_Toc6858"/>
      <w:bookmarkStart w:id="148" w:name="_Toc4457"/>
      <w:r>
        <w:rPr>
          <w:rFonts w:hint="eastAsia"/>
          <w:color w:val="000000"/>
          <w:sz w:val="28"/>
          <w:highlight w:val="none"/>
          <w:u w:val="none"/>
        </w:rPr>
        <w:t>11.</w:t>
      </w:r>
      <w:bookmarkEnd w:id="139"/>
      <w:bookmarkEnd w:id="140"/>
      <w:bookmarkEnd w:id="141"/>
      <w:bookmarkEnd w:id="142"/>
      <w:r>
        <w:rPr>
          <w:rFonts w:hint="eastAsia"/>
          <w:color w:val="000000"/>
          <w:sz w:val="28"/>
          <w:highlight w:val="none"/>
          <w:u w:val="none"/>
        </w:rPr>
        <w:t>报价</w:t>
      </w:r>
      <w:bookmarkEnd w:id="143"/>
      <w:bookmarkEnd w:id="144"/>
      <w:bookmarkEnd w:id="145"/>
      <w:bookmarkEnd w:id="146"/>
      <w:bookmarkEnd w:id="147"/>
      <w:bookmarkEnd w:id="148"/>
    </w:p>
    <w:p w14:paraId="4FCF648F">
      <w:pPr>
        <w:ind w:firstLine="480" w:firstLineChars="200"/>
        <w:rPr>
          <w:rFonts w:hint="eastAsia"/>
          <w:bCs/>
          <w:strike/>
          <w:highlight w:val="none"/>
        </w:rPr>
      </w:pPr>
      <w:r>
        <w:rPr>
          <w:rFonts w:hint="eastAsia"/>
          <w:highlight w:val="none"/>
        </w:rPr>
        <w:t>11.1</w:t>
      </w:r>
      <w:r>
        <w:rPr>
          <w:rFonts w:hint="eastAsia"/>
          <w:b/>
          <w:bCs/>
          <w:highlight w:val="none"/>
          <w:u w:val="single"/>
        </w:rPr>
        <w:t>本项目不少于两轮报价</w:t>
      </w:r>
      <w:r>
        <w:rPr>
          <w:rFonts w:hint="eastAsia"/>
          <w:highlight w:val="none"/>
        </w:rPr>
        <w:t>。供应商的报价应当包括满足本次磋商全部采购需求所应提供的服务，以及伴随的货物。所有响应均</w:t>
      </w:r>
      <w:r>
        <w:rPr>
          <w:rFonts w:hint="eastAsia"/>
          <w:bCs/>
          <w:highlight w:val="none"/>
        </w:rPr>
        <w:t>以人民币报价，供应商的报价应遵守《中华人民共和国价格法》。</w:t>
      </w:r>
    </w:p>
    <w:p w14:paraId="6251AD05">
      <w:pPr>
        <w:ind w:firstLine="480" w:firstLineChars="200"/>
        <w:rPr>
          <w:rFonts w:hint="eastAsia"/>
          <w:bCs/>
          <w:highlight w:val="none"/>
        </w:rPr>
      </w:pPr>
      <w:r>
        <w:rPr>
          <w:rFonts w:hint="eastAsia"/>
          <w:bCs/>
          <w:highlight w:val="none"/>
        </w:rPr>
        <w:t>11.2供应商应在报价明细表上标明</w:t>
      </w:r>
      <w:r>
        <w:rPr>
          <w:rFonts w:hint="eastAsia"/>
          <w:highlight w:val="none"/>
        </w:rPr>
        <w:t>响应服务及相关货物的单价（如适用）和总价</w:t>
      </w:r>
      <w:r>
        <w:rPr>
          <w:rFonts w:hint="eastAsia"/>
          <w:bCs/>
          <w:highlight w:val="none"/>
        </w:rPr>
        <w:t>。</w:t>
      </w:r>
    </w:p>
    <w:p w14:paraId="7267884F">
      <w:pPr>
        <w:ind w:firstLine="480" w:firstLineChars="200"/>
        <w:rPr>
          <w:rFonts w:hint="eastAsia"/>
          <w:bCs/>
          <w:highlight w:val="none"/>
        </w:rPr>
      </w:pPr>
      <w:r>
        <w:rPr>
          <w:rFonts w:hint="eastAsia"/>
          <w:bCs/>
          <w:highlight w:val="none"/>
        </w:rPr>
        <w:t>11.3供应商报价超过竞争性磋商文件规定的预算金额或者最高限价的，其响应将被认定为响应无效。</w:t>
      </w:r>
    </w:p>
    <w:p w14:paraId="08E52355">
      <w:pPr>
        <w:ind w:firstLine="480" w:firstLineChars="200"/>
        <w:rPr>
          <w:rFonts w:hint="eastAsia"/>
          <w:bCs/>
          <w:highlight w:val="none"/>
        </w:rPr>
      </w:pPr>
      <w:r>
        <w:rPr>
          <w:rFonts w:hint="eastAsia"/>
          <w:bCs/>
          <w:highlight w:val="none"/>
        </w:rPr>
        <w:t>11.4供应商提交的最后报价，在合同履行过程中是固定不变的，不得以任何理由予以变更。</w:t>
      </w:r>
    </w:p>
    <w:p w14:paraId="59892541">
      <w:pPr>
        <w:ind w:firstLine="480" w:firstLineChars="200"/>
        <w:rPr>
          <w:rFonts w:hint="eastAsia"/>
          <w:bCs/>
          <w:highlight w:val="none"/>
        </w:rPr>
      </w:pPr>
      <w:r>
        <w:rPr>
          <w:rFonts w:hint="eastAsia"/>
          <w:bCs/>
          <w:highlight w:val="none"/>
        </w:rPr>
        <w:t>11.5采购人不接受具有附加条件的报价或多个方案的报价。</w:t>
      </w:r>
    </w:p>
    <w:p w14:paraId="7D672359">
      <w:pPr>
        <w:ind w:firstLine="480" w:firstLineChars="200"/>
        <w:rPr>
          <w:rFonts w:hint="eastAsia"/>
          <w:bCs/>
          <w:highlight w:val="none"/>
        </w:rPr>
      </w:pPr>
      <w:r>
        <w:rPr>
          <w:rFonts w:hint="eastAsia"/>
          <w:bCs/>
          <w:highlight w:val="none"/>
        </w:rPr>
        <w:t>11.6供应商不得递交备选响应方案。</w:t>
      </w:r>
    </w:p>
    <w:p w14:paraId="78C40D62">
      <w:pPr>
        <w:ind w:firstLine="480" w:firstLineChars="200"/>
        <w:rPr>
          <w:rFonts w:hint="eastAsia"/>
          <w:bCs/>
          <w:highlight w:val="none"/>
        </w:rPr>
      </w:pPr>
      <w:r>
        <w:rPr>
          <w:rFonts w:hint="eastAsia"/>
          <w:bCs/>
          <w:highlight w:val="none"/>
        </w:rPr>
        <w:t>11.7通过资格性审查和符合性审查的供应商有再次报价的机会。价格的评审以最终报价为准。</w:t>
      </w:r>
    </w:p>
    <w:p w14:paraId="144252C7">
      <w:pPr>
        <w:snapToGrid w:val="0"/>
        <w:ind w:left="480" w:leftChars="200"/>
        <w:textAlignment w:val="baseline"/>
        <w:rPr>
          <w:rFonts w:hint="eastAsia"/>
          <w:highlight w:val="none"/>
        </w:rPr>
      </w:pPr>
      <w:r>
        <w:rPr>
          <w:rFonts w:hint="eastAsia"/>
          <w:bCs/>
          <w:highlight w:val="none"/>
        </w:rPr>
        <w:t>11.8</w:t>
      </w:r>
      <w:r>
        <w:rPr>
          <w:rFonts w:hint="eastAsia"/>
          <w:highlight w:val="none"/>
          <w:u w:val="single"/>
        </w:rPr>
        <w:t>采购代理服务费</w:t>
      </w:r>
      <w:r>
        <w:rPr>
          <w:rFonts w:hint="eastAsia"/>
          <w:highlight w:val="none"/>
          <w:u w:val="single"/>
          <w:lang w:eastAsia="zh-CN"/>
        </w:rPr>
        <w:t>：</w:t>
      </w:r>
      <w:r>
        <w:rPr>
          <w:rFonts w:hint="eastAsia"/>
          <w:highlight w:val="none"/>
          <w:u w:val="single"/>
          <w:lang w:val="en-US" w:eastAsia="zh-CN"/>
        </w:rPr>
        <w:t>参照鲁招协{2024}13号文件的90%收取</w:t>
      </w:r>
      <w:r>
        <w:rPr>
          <w:rFonts w:hint="eastAsia"/>
          <w:highlight w:val="none"/>
          <w:u w:val="single"/>
        </w:rPr>
        <w:t>，由成交供应商在领取成交通知书前交付采购代理机构</w:t>
      </w:r>
      <w:r>
        <w:rPr>
          <w:rFonts w:hint="eastAsia"/>
          <w:highlight w:val="none"/>
        </w:rPr>
        <w:t>。</w:t>
      </w:r>
    </w:p>
    <w:p w14:paraId="291DB482">
      <w:pPr>
        <w:snapToGrid w:val="0"/>
        <w:ind w:left="480" w:leftChars="200"/>
        <w:textAlignment w:val="baseline"/>
        <w:rPr>
          <w:rFonts w:hint="eastAsia"/>
          <w:bCs/>
          <w:highlight w:val="none"/>
        </w:rPr>
      </w:pPr>
      <w:r>
        <w:rPr>
          <w:rFonts w:hint="eastAsia"/>
          <w:bCs/>
          <w:highlight w:val="none"/>
        </w:rPr>
        <w:t>11.9交易平台使用费：</w:t>
      </w:r>
      <w:r>
        <w:rPr>
          <w:rFonts w:hint="eastAsia"/>
          <w:bCs/>
          <w:highlight w:val="none"/>
          <w:u w:val="single"/>
        </w:rPr>
        <w:t>平台使用费由成交供应商交付。平台使用费以成交价为基数，按以下比例分段累进计费</w:t>
      </w:r>
      <w:r>
        <w:rPr>
          <w:rFonts w:hint="eastAsia"/>
          <w:bCs/>
          <w:highlight w:val="none"/>
        </w:rPr>
        <w:t>：</w:t>
      </w:r>
    </w:p>
    <w:tbl>
      <w:tblPr>
        <w:tblStyle w:val="30"/>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41"/>
        <w:gridCol w:w="3530"/>
      </w:tblGrid>
      <w:tr w14:paraId="6E060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34" w:type="dxa"/>
            <w:vAlign w:val="center"/>
          </w:tcPr>
          <w:p w14:paraId="2D8D0CF4">
            <w:pPr>
              <w:spacing w:line="240" w:lineRule="auto"/>
              <w:rPr>
                <w:rFonts w:hint="eastAsia"/>
                <w:highlight w:val="none"/>
              </w:rPr>
            </w:pPr>
            <w:r>
              <w:rPr>
                <w:rFonts w:hint="eastAsia"/>
                <w:highlight w:val="none"/>
              </w:rPr>
              <w:t>300万元（含）以下部分</w:t>
            </w:r>
          </w:p>
        </w:tc>
        <w:tc>
          <w:tcPr>
            <w:tcW w:w="3525" w:type="dxa"/>
            <w:vAlign w:val="center"/>
          </w:tcPr>
          <w:p w14:paraId="059CCFA0">
            <w:pPr>
              <w:spacing w:line="240" w:lineRule="auto"/>
              <w:rPr>
                <w:rFonts w:hint="eastAsia"/>
                <w:highlight w:val="none"/>
              </w:rPr>
            </w:pPr>
            <w:r>
              <w:rPr>
                <w:rFonts w:hint="eastAsia"/>
                <w:highlight w:val="none"/>
              </w:rPr>
              <w:t>0.17%</w:t>
            </w:r>
          </w:p>
        </w:tc>
      </w:tr>
      <w:tr w14:paraId="37A8F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34" w:type="dxa"/>
            <w:vAlign w:val="center"/>
          </w:tcPr>
          <w:p w14:paraId="69892AD7">
            <w:pPr>
              <w:spacing w:line="240" w:lineRule="auto"/>
              <w:rPr>
                <w:rFonts w:hint="eastAsia"/>
                <w:highlight w:val="none"/>
              </w:rPr>
            </w:pPr>
            <w:r>
              <w:rPr>
                <w:rFonts w:hint="eastAsia"/>
                <w:highlight w:val="none"/>
              </w:rPr>
              <w:t>300-500万元（含500万元）</w:t>
            </w:r>
          </w:p>
        </w:tc>
        <w:tc>
          <w:tcPr>
            <w:tcW w:w="3525" w:type="dxa"/>
            <w:vAlign w:val="center"/>
          </w:tcPr>
          <w:p w14:paraId="22709701">
            <w:pPr>
              <w:spacing w:line="240" w:lineRule="auto"/>
              <w:rPr>
                <w:rFonts w:hint="eastAsia"/>
                <w:highlight w:val="none"/>
              </w:rPr>
            </w:pPr>
            <w:r>
              <w:rPr>
                <w:rFonts w:hint="eastAsia"/>
                <w:highlight w:val="none"/>
              </w:rPr>
              <w:t>0.16%</w:t>
            </w:r>
          </w:p>
        </w:tc>
      </w:tr>
      <w:tr w14:paraId="336EF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34" w:type="dxa"/>
            <w:vAlign w:val="center"/>
          </w:tcPr>
          <w:p w14:paraId="757608FD">
            <w:pPr>
              <w:spacing w:line="240" w:lineRule="auto"/>
              <w:rPr>
                <w:rFonts w:hint="eastAsia"/>
                <w:highlight w:val="none"/>
              </w:rPr>
            </w:pPr>
            <w:r>
              <w:rPr>
                <w:rFonts w:hint="eastAsia"/>
                <w:highlight w:val="none"/>
              </w:rPr>
              <w:t>500-1000万元（含1000万元）</w:t>
            </w:r>
          </w:p>
        </w:tc>
        <w:tc>
          <w:tcPr>
            <w:tcW w:w="3525" w:type="dxa"/>
            <w:vAlign w:val="center"/>
          </w:tcPr>
          <w:p w14:paraId="00F887BF">
            <w:pPr>
              <w:spacing w:line="240" w:lineRule="auto"/>
              <w:rPr>
                <w:rFonts w:hint="eastAsia"/>
                <w:highlight w:val="none"/>
              </w:rPr>
            </w:pPr>
            <w:r>
              <w:rPr>
                <w:rFonts w:hint="eastAsia"/>
                <w:highlight w:val="none"/>
              </w:rPr>
              <w:t>0.15%</w:t>
            </w:r>
          </w:p>
        </w:tc>
      </w:tr>
      <w:tr w14:paraId="51779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34" w:type="dxa"/>
            <w:vAlign w:val="center"/>
          </w:tcPr>
          <w:p w14:paraId="24D62C4C">
            <w:pPr>
              <w:spacing w:line="240" w:lineRule="auto"/>
              <w:rPr>
                <w:rFonts w:hint="eastAsia"/>
                <w:highlight w:val="none"/>
              </w:rPr>
            </w:pPr>
            <w:r>
              <w:rPr>
                <w:rFonts w:hint="eastAsia"/>
                <w:highlight w:val="none"/>
              </w:rPr>
              <w:t>1000 万元-3000 万元（含3000万元）</w:t>
            </w:r>
          </w:p>
        </w:tc>
        <w:tc>
          <w:tcPr>
            <w:tcW w:w="3525" w:type="dxa"/>
            <w:vAlign w:val="center"/>
          </w:tcPr>
          <w:p w14:paraId="5EC09815">
            <w:pPr>
              <w:spacing w:line="240" w:lineRule="auto"/>
              <w:rPr>
                <w:rFonts w:hint="eastAsia"/>
                <w:highlight w:val="none"/>
              </w:rPr>
            </w:pPr>
            <w:r>
              <w:rPr>
                <w:rFonts w:hint="eastAsia"/>
                <w:highlight w:val="none"/>
              </w:rPr>
              <w:t>0.14%</w:t>
            </w:r>
          </w:p>
        </w:tc>
      </w:tr>
      <w:tr w14:paraId="4BFE9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34" w:type="dxa"/>
            <w:vAlign w:val="center"/>
          </w:tcPr>
          <w:p w14:paraId="46889711">
            <w:pPr>
              <w:spacing w:line="240" w:lineRule="auto"/>
              <w:rPr>
                <w:rFonts w:hint="eastAsia"/>
                <w:highlight w:val="none"/>
              </w:rPr>
            </w:pPr>
            <w:r>
              <w:rPr>
                <w:rFonts w:hint="eastAsia"/>
                <w:highlight w:val="none"/>
              </w:rPr>
              <w:t>3000 万元-5000 万元（含5000万元）</w:t>
            </w:r>
          </w:p>
        </w:tc>
        <w:tc>
          <w:tcPr>
            <w:tcW w:w="3525" w:type="dxa"/>
            <w:vAlign w:val="center"/>
          </w:tcPr>
          <w:p w14:paraId="20DB2861">
            <w:pPr>
              <w:spacing w:line="240" w:lineRule="auto"/>
              <w:rPr>
                <w:rFonts w:hint="eastAsia"/>
                <w:highlight w:val="none"/>
              </w:rPr>
            </w:pPr>
            <w:r>
              <w:rPr>
                <w:rFonts w:hint="eastAsia"/>
                <w:highlight w:val="none"/>
              </w:rPr>
              <w:t>0.09%</w:t>
            </w:r>
          </w:p>
        </w:tc>
      </w:tr>
      <w:tr w14:paraId="4B13D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34" w:type="dxa"/>
            <w:vAlign w:val="center"/>
          </w:tcPr>
          <w:p w14:paraId="2C6817B4">
            <w:pPr>
              <w:spacing w:line="240" w:lineRule="auto"/>
              <w:rPr>
                <w:rFonts w:hint="eastAsia"/>
                <w:highlight w:val="none"/>
              </w:rPr>
            </w:pPr>
            <w:r>
              <w:rPr>
                <w:rFonts w:hint="eastAsia"/>
                <w:highlight w:val="none"/>
              </w:rPr>
              <w:t>5000 万元-1亿元（含1亿元）</w:t>
            </w:r>
          </w:p>
        </w:tc>
        <w:tc>
          <w:tcPr>
            <w:tcW w:w="3525" w:type="dxa"/>
            <w:vAlign w:val="center"/>
          </w:tcPr>
          <w:p w14:paraId="638E92ED">
            <w:pPr>
              <w:spacing w:line="240" w:lineRule="auto"/>
              <w:rPr>
                <w:rFonts w:hint="eastAsia"/>
                <w:highlight w:val="none"/>
              </w:rPr>
            </w:pPr>
            <w:r>
              <w:rPr>
                <w:rFonts w:hint="eastAsia"/>
                <w:highlight w:val="none"/>
              </w:rPr>
              <w:t>0.05%</w:t>
            </w:r>
          </w:p>
        </w:tc>
      </w:tr>
      <w:tr w14:paraId="51B52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59" w:type="dxa"/>
            <w:gridSpan w:val="2"/>
            <w:vAlign w:val="center"/>
          </w:tcPr>
          <w:p w14:paraId="48A47B9B">
            <w:pPr>
              <w:spacing w:line="240" w:lineRule="auto"/>
              <w:rPr>
                <w:rFonts w:hint="eastAsia"/>
                <w:highlight w:val="none"/>
              </w:rPr>
            </w:pPr>
            <w:r>
              <w:rPr>
                <w:rFonts w:hint="eastAsia"/>
                <w:highlight w:val="none"/>
              </w:rPr>
              <w:t>备注：单项最低收费为1000元</w:t>
            </w:r>
          </w:p>
        </w:tc>
      </w:tr>
    </w:tbl>
    <w:p w14:paraId="61E629BD">
      <w:pPr>
        <w:ind w:firstLine="480" w:firstLineChars="200"/>
        <w:rPr>
          <w:rFonts w:hint="eastAsia" w:ascii="宋体" w:hAnsi="宋体" w:eastAsia="宋体" w:cs="宋体"/>
          <w:bCs/>
          <w:highlight w:val="none"/>
          <w:u w:val="single"/>
          <w:lang w:val="en-US" w:eastAsia="zh-CN"/>
        </w:rPr>
      </w:pPr>
      <w:r>
        <w:rPr>
          <w:rFonts w:hint="eastAsia" w:ascii="宋体" w:hAnsi="宋体" w:eastAsia="宋体" w:cs="宋体"/>
          <w:bCs/>
          <w:highlight w:val="none"/>
        </w:rPr>
        <w:t>11.10</w:t>
      </w:r>
      <w:r>
        <w:rPr>
          <w:rFonts w:hint="eastAsia" w:ascii="宋体" w:hAnsi="宋体" w:eastAsia="宋体" w:cs="宋体"/>
          <w:bCs/>
          <w:highlight w:val="none"/>
          <w:lang w:val="en-US" w:eastAsia="zh-CN"/>
        </w:rPr>
        <w:t>鲁采采电子招投标交易平台技术服务费：</w:t>
      </w:r>
    </w:p>
    <w:tbl>
      <w:tblPr>
        <w:tblStyle w:val="30"/>
        <w:tblW w:w="9098"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3686"/>
        <w:gridCol w:w="2424"/>
        <w:gridCol w:w="1899"/>
      </w:tblGrid>
      <w:tr w14:paraId="40E0F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1089" w:type="dxa"/>
            <w:vAlign w:val="center"/>
          </w:tcPr>
          <w:p w14:paraId="04554D81">
            <w:pPr>
              <w:keepNext w:val="0"/>
              <w:keepLines w:val="0"/>
              <w:suppressLineNumbers w:val="0"/>
              <w:spacing w:before="0" w:beforeAutospacing="0" w:after="0" w:afterAutospacing="0" w:line="240" w:lineRule="auto"/>
              <w:ind w:left="0" w:right="0"/>
              <w:jc w:val="center"/>
              <w:rPr>
                <w:rFonts w:hint="eastAsia"/>
                <w:highlight w:val="none"/>
              </w:rPr>
            </w:pPr>
            <w:r>
              <w:rPr>
                <w:rFonts w:hint="eastAsia"/>
                <w:highlight w:val="none"/>
              </w:rPr>
              <w:t>序号</w:t>
            </w:r>
          </w:p>
        </w:tc>
        <w:tc>
          <w:tcPr>
            <w:tcW w:w="3686" w:type="dxa"/>
            <w:vAlign w:val="center"/>
          </w:tcPr>
          <w:p w14:paraId="247B64DE">
            <w:pPr>
              <w:keepNext w:val="0"/>
              <w:keepLines w:val="0"/>
              <w:suppressLineNumbers w:val="0"/>
              <w:spacing w:before="0" w:beforeAutospacing="0" w:after="0" w:afterAutospacing="0" w:line="240" w:lineRule="auto"/>
              <w:ind w:left="0" w:right="0"/>
              <w:jc w:val="center"/>
              <w:rPr>
                <w:rFonts w:hint="eastAsia"/>
                <w:highlight w:val="none"/>
              </w:rPr>
            </w:pPr>
            <w:r>
              <w:rPr>
                <w:rFonts w:hint="eastAsia"/>
                <w:highlight w:val="none"/>
              </w:rPr>
              <w:t>预（概）算金额M</w:t>
            </w:r>
          </w:p>
          <w:p w14:paraId="1F64EACD">
            <w:pPr>
              <w:keepNext w:val="0"/>
              <w:keepLines w:val="0"/>
              <w:suppressLineNumbers w:val="0"/>
              <w:spacing w:before="0" w:beforeAutospacing="0" w:after="0" w:afterAutospacing="0" w:line="240" w:lineRule="auto"/>
              <w:ind w:left="0" w:right="0"/>
              <w:jc w:val="center"/>
              <w:rPr>
                <w:rFonts w:hint="eastAsia"/>
                <w:highlight w:val="none"/>
              </w:rPr>
            </w:pPr>
            <w:r>
              <w:rPr>
                <w:rFonts w:hint="eastAsia"/>
                <w:highlight w:val="none"/>
              </w:rPr>
              <w:t>（单位：元）</w:t>
            </w:r>
          </w:p>
        </w:tc>
        <w:tc>
          <w:tcPr>
            <w:tcW w:w="2424" w:type="dxa"/>
            <w:vAlign w:val="center"/>
          </w:tcPr>
          <w:p w14:paraId="3CA02C67">
            <w:pPr>
              <w:keepNext w:val="0"/>
              <w:keepLines w:val="0"/>
              <w:suppressLineNumbers w:val="0"/>
              <w:spacing w:before="0" w:beforeAutospacing="0" w:after="0" w:afterAutospacing="0" w:line="240" w:lineRule="auto"/>
              <w:ind w:left="0" w:right="0"/>
              <w:jc w:val="center"/>
              <w:rPr>
                <w:rFonts w:hint="eastAsia"/>
                <w:highlight w:val="none"/>
              </w:rPr>
            </w:pPr>
            <w:r>
              <w:rPr>
                <w:rFonts w:hint="eastAsia"/>
                <w:highlight w:val="none"/>
              </w:rPr>
              <w:t>收费标准</w:t>
            </w:r>
          </w:p>
          <w:p w14:paraId="6964ABE3">
            <w:pPr>
              <w:keepNext w:val="0"/>
              <w:keepLines w:val="0"/>
              <w:suppressLineNumbers w:val="0"/>
              <w:spacing w:before="0" w:beforeAutospacing="0" w:after="0" w:afterAutospacing="0" w:line="240" w:lineRule="auto"/>
              <w:ind w:left="0" w:right="0"/>
              <w:jc w:val="center"/>
              <w:rPr>
                <w:rFonts w:hint="eastAsia"/>
                <w:highlight w:val="none"/>
              </w:rPr>
            </w:pPr>
            <w:r>
              <w:rPr>
                <w:rFonts w:hint="eastAsia"/>
                <w:highlight w:val="none"/>
              </w:rPr>
              <w:t>单位（元）</w:t>
            </w:r>
          </w:p>
        </w:tc>
        <w:tc>
          <w:tcPr>
            <w:tcW w:w="1899" w:type="dxa"/>
            <w:vAlign w:val="center"/>
          </w:tcPr>
          <w:p w14:paraId="3F3A0B33">
            <w:pPr>
              <w:keepNext w:val="0"/>
              <w:keepLines w:val="0"/>
              <w:suppressLineNumbers w:val="0"/>
              <w:spacing w:before="0" w:beforeAutospacing="0" w:after="0" w:afterAutospacing="0" w:line="240" w:lineRule="auto"/>
              <w:ind w:left="0" w:right="0"/>
              <w:jc w:val="center"/>
              <w:rPr>
                <w:rFonts w:hint="eastAsia"/>
                <w:highlight w:val="none"/>
              </w:rPr>
            </w:pPr>
            <w:r>
              <w:rPr>
                <w:rFonts w:hint="eastAsia"/>
                <w:highlight w:val="none"/>
              </w:rPr>
              <w:t>备注</w:t>
            </w:r>
          </w:p>
        </w:tc>
      </w:tr>
      <w:tr w14:paraId="11BC0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9" w:type="dxa"/>
            <w:vAlign w:val="center"/>
          </w:tcPr>
          <w:p w14:paraId="7E2F7C5F">
            <w:pPr>
              <w:pStyle w:val="26"/>
              <w:keepNext w:val="0"/>
              <w:keepLines w:val="0"/>
              <w:widowControl/>
              <w:suppressLineNumbers w:val="0"/>
              <w:spacing w:before="150" w:beforeAutospacing="0" w:after="150" w:afterAutospacing="0" w:line="240" w:lineRule="auto"/>
              <w:ind w:left="0" w:leftChars="0" w:right="0" w:rightChars="0"/>
              <w:jc w:val="center"/>
              <w:rPr>
                <w:rFonts w:hint="eastAsia"/>
                <w:highlight w:val="none"/>
              </w:rPr>
            </w:pPr>
            <w:r>
              <w:rPr>
                <w:rFonts w:hint="default" w:ascii="Segoe UI" w:hAnsi="Segoe UI" w:eastAsia="Segoe UI" w:cs="Segoe UI"/>
                <w:i w:val="0"/>
                <w:iCs w:val="0"/>
                <w:caps w:val="0"/>
                <w:spacing w:val="0"/>
                <w:sz w:val="21"/>
                <w:szCs w:val="21"/>
                <w:highlight w:val="none"/>
              </w:rPr>
              <w:t>1</w:t>
            </w:r>
          </w:p>
        </w:tc>
        <w:tc>
          <w:tcPr>
            <w:tcW w:w="3686" w:type="dxa"/>
            <w:vAlign w:val="center"/>
          </w:tcPr>
          <w:p w14:paraId="6D5C78D9">
            <w:pPr>
              <w:pStyle w:val="26"/>
              <w:keepNext w:val="0"/>
              <w:keepLines w:val="0"/>
              <w:widowControl/>
              <w:suppressLineNumbers w:val="0"/>
              <w:spacing w:before="150" w:beforeAutospacing="0" w:after="150" w:afterAutospacing="0" w:line="240" w:lineRule="auto"/>
              <w:ind w:left="0" w:leftChars="0" w:right="0" w:rightChars="0"/>
              <w:jc w:val="center"/>
              <w:rPr>
                <w:rFonts w:hint="eastAsia"/>
                <w:highlight w:val="none"/>
              </w:rPr>
            </w:pPr>
            <w:r>
              <w:rPr>
                <w:rFonts w:hint="default" w:ascii="Segoe UI" w:hAnsi="Segoe UI" w:eastAsia="Segoe UI" w:cs="Segoe UI"/>
                <w:i w:val="0"/>
                <w:iCs w:val="0"/>
                <w:caps w:val="0"/>
                <w:spacing w:val="0"/>
                <w:sz w:val="21"/>
                <w:szCs w:val="21"/>
                <w:highlight w:val="none"/>
              </w:rPr>
              <w:t>0万＜M≤50万</w:t>
            </w:r>
          </w:p>
        </w:tc>
        <w:tc>
          <w:tcPr>
            <w:tcW w:w="2424" w:type="dxa"/>
            <w:vAlign w:val="center"/>
          </w:tcPr>
          <w:p w14:paraId="1AF0CA19">
            <w:pPr>
              <w:pStyle w:val="26"/>
              <w:keepNext w:val="0"/>
              <w:keepLines w:val="0"/>
              <w:widowControl/>
              <w:suppressLineNumbers w:val="0"/>
              <w:spacing w:before="150" w:beforeAutospacing="0" w:after="150" w:afterAutospacing="0" w:line="240" w:lineRule="auto"/>
              <w:ind w:left="0" w:leftChars="0" w:right="0" w:rightChars="0"/>
              <w:jc w:val="center"/>
              <w:rPr>
                <w:rFonts w:hint="eastAsia"/>
                <w:highlight w:val="none"/>
              </w:rPr>
            </w:pPr>
            <w:r>
              <w:rPr>
                <w:rFonts w:hint="default" w:ascii="Segoe UI" w:hAnsi="Segoe UI" w:eastAsia="Segoe UI" w:cs="Segoe UI"/>
                <w:i w:val="0"/>
                <w:iCs w:val="0"/>
                <w:caps w:val="0"/>
                <w:spacing w:val="0"/>
                <w:sz w:val="21"/>
                <w:szCs w:val="21"/>
                <w:highlight w:val="none"/>
              </w:rPr>
              <w:t>1000元</w:t>
            </w:r>
          </w:p>
        </w:tc>
        <w:tc>
          <w:tcPr>
            <w:tcW w:w="1899" w:type="dxa"/>
            <w:vMerge w:val="restart"/>
            <w:vAlign w:val="center"/>
          </w:tcPr>
          <w:p w14:paraId="6153BA87">
            <w:pPr>
              <w:keepNext w:val="0"/>
              <w:keepLines w:val="0"/>
              <w:suppressLineNumbers w:val="0"/>
              <w:spacing w:before="0" w:beforeAutospacing="0" w:after="0" w:afterAutospacing="0" w:line="240" w:lineRule="auto"/>
              <w:ind w:left="0" w:right="0"/>
              <w:jc w:val="center"/>
              <w:rPr>
                <w:rFonts w:hint="eastAsia"/>
                <w:highlight w:val="none"/>
              </w:rPr>
            </w:pPr>
            <w:r>
              <w:rPr>
                <w:rFonts w:hint="default" w:ascii="Segoe UI" w:hAnsi="Segoe UI" w:eastAsia="Segoe UI" w:cs="Segoe UI"/>
                <w:i w:val="0"/>
                <w:iCs w:val="0"/>
                <w:caps w:val="0"/>
                <w:spacing w:val="0"/>
                <w:sz w:val="21"/>
                <w:szCs w:val="21"/>
                <w:highlight w:val="none"/>
                <w:shd w:val="clear" w:fill="FFFFFF"/>
              </w:rPr>
              <w:t>中标人/包组/次</w:t>
            </w:r>
          </w:p>
        </w:tc>
      </w:tr>
      <w:tr w14:paraId="3E9C9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9" w:type="dxa"/>
            <w:vAlign w:val="center"/>
          </w:tcPr>
          <w:p w14:paraId="15A76043">
            <w:pPr>
              <w:pStyle w:val="26"/>
              <w:keepNext w:val="0"/>
              <w:keepLines w:val="0"/>
              <w:widowControl/>
              <w:suppressLineNumbers w:val="0"/>
              <w:spacing w:before="150" w:beforeAutospacing="0" w:after="150" w:afterAutospacing="0" w:line="240" w:lineRule="auto"/>
              <w:ind w:left="0" w:leftChars="0" w:right="0" w:rightChars="0"/>
              <w:jc w:val="center"/>
              <w:rPr>
                <w:rFonts w:hint="eastAsia"/>
                <w:highlight w:val="none"/>
              </w:rPr>
            </w:pPr>
            <w:r>
              <w:rPr>
                <w:rFonts w:hint="default" w:ascii="Segoe UI" w:hAnsi="Segoe UI" w:eastAsia="Segoe UI" w:cs="Segoe UI"/>
                <w:i w:val="0"/>
                <w:iCs w:val="0"/>
                <w:caps w:val="0"/>
                <w:spacing w:val="0"/>
                <w:sz w:val="21"/>
                <w:szCs w:val="21"/>
                <w:highlight w:val="none"/>
              </w:rPr>
              <w:t>2</w:t>
            </w:r>
          </w:p>
        </w:tc>
        <w:tc>
          <w:tcPr>
            <w:tcW w:w="3686" w:type="dxa"/>
            <w:vAlign w:val="center"/>
          </w:tcPr>
          <w:p w14:paraId="4BDD7096">
            <w:pPr>
              <w:pStyle w:val="26"/>
              <w:keepNext w:val="0"/>
              <w:keepLines w:val="0"/>
              <w:widowControl/>
              <w:suppressLineNumbers w:val="0"/>
              <w:spacing w:before="150" w:beforeAutospacing="0" w:after="150" w:afterAutospacing="0" w:line="240" w:lineRule="auto"/>
              <w:ind w:left="0" w:leftChars="0" w:right="0" w:rightChars="0"/>
              <w:jc w:val="center"/>
              <w:rPr>
                <w:rFonts w:hint="eastAsia"/>
                <w:highlight w:val="none"/>
              </w:rPr>
            </w:pPr>
            <w:r>
              <w:rPr>
                <w:rFonts w:hint="default" w:ascii="Segoe UI" w:hAnsi="Segoe UI" w:eastAsia="Segoe UI" w:cs="Segoe UI"/>
                <w:i w:val="0"/>
                <w:iCs w:val="0"/>
                <w:caps w:val="0"/>
                <w:spacing w:val="0"/>
                <w:sz w:val="21"/>
                <w:szCs w:val="21"/>
                <w:highlight w:val="none"/>
              </w:rPr>
              <w:t>50万＜M≤200万</w:t>
            </w:r>
          </w:p>
        </w:tc>
        <w:tc>
          <w:tcPr>
            <w:tcW w:w="2424" w:type="dxa"/>
            <w:vAlign w:val="center"/>
          </w:tcPr>
          <w:p w14:paraId="2A15D0B9">
            <w:pPr>
              <w:pStyle w:val="26"/>
              <w:keepNext w:val="0"/>
              <w:keepLines w:val="0"/>
              <w:widowControl/>
              <w:suppressLineNumbers w:val="0"/>
              <w:spacing w:before="150" w:beforeAutospacing="0" w:after="150" w:afterAutospacing="0" w:line="240" w:lineRule="auto"/>
              <w:ind w:left="0" w:leftChars="0" w:right="0" w:rightChars="0"/>
              <w:jc w:val="center"/>
              <w:rPr>
                <w:rFonts w:hint="eastAsia"/>
                <w:highlight w:val="none"/>
              </w:rPr>
            </w:pPr>
            <w:r>
              <w:rPr>
                <w:rFonts w:hint="default" w:ascii="Segoe UI" w:hAnsi="Segoe UI" w:eastAsia="Segoe UI" w:cs="Segoe UI"/>
                <w:i w:val="0"/>
                <w:iCs w:val="0"/>
                <w:caps w:val="0"/>
                <w:spacing w:val="0"/>
                <w:sz w:val="21"/>
                <w:szCs w:val="21"/>
                <w:highlight w:val="none"/>
              </w:rPr>
              <w:t>2000元</w:t>
            </w:r>
          </w:p>
        </w:tc>
        <w:tc>
          <w:tcPr>
            <w:tcW w:w="1899" w:type="dxa"/>
            <w:vMerge w:val="continue"/>
            <w:vAlign w:val="center"/>
          </w:tcPr>
          <w:p w14:paraId="5257817A">
            <w:pPr>
              <w:keepNext w:val="0"/>
              <w:keepLines w:val="0"/>
              <w:suppressLineNumbers w:val="0"/>
              <w:spacing w:before="0" w:beforeAutospacing="0" w:after="0" w:afterAutospacing="0" w:line="240" w:lineRule="auto"/>
              <w:ind w:left="0" w:right="0"/>
              <w:jc w:val="center"/>
              <w:rPr>
                <w:rFonts w:hint="eastAsia"/>
                <w:highlight w:val="none"/>
              </w:rPr>
            </w:pPr>
          </w:p>
        </w:tc>
      </w:tr>
      <w:tr w14:paraId="79031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9" w:type="dxa"/>
            <w:vAlign w:val="center"/>
          </w:tcPr>
          <w:p w14:paraId="4B40E28C">
            <w:pPr>
              <w:pStyle w:val="26"/>
              <w:keepNext w:val="0"/>
              <w:keepLines w:val="0"/>
              <w:widowControl/>
              <w:suppressLineNumbers w:val="0"/>
              <w:spacing w:before="150" w:beforeAutospacing="0" w:after="150" w:afterAutospacing="0" w:line="240" w:lineRule="auto"/>
              <w:ind w:left="0" w:leftChars="0" w:right="0" w:rightChars="0"/>
              <w:jc w:val="center"/>
              <w:rPr>
                <w:rFonts w:hint="eastAsia"/>
                <w:highlight w:val="none"/>
              </w:rPr>
            </w:pPr>
            <w:r>
              <w:rPr>
                <w:rFonts w:hint="default" w:ascii="Segoe UI" w:hAnsi="Segoe UI" w:eastAsia="Segoe UI" w:cs="Segoe UI"/>
                <w:i w:val="0"/>
                <w:iCs w:val="0"/>
                <w:caps w:val="0"/>
                <w:spacing w:val="0"/>
                <w:sz w:val="21"/>
                <w:szCs w:val="21"/>
                <w:highlight w:val="none"/>
              </w:rPr>
              <w:t>3</w:t>
            </w:r>
          </w:p>
        </w:tc>
        <w:tc>
          <w:tcPr>
            <w:tcW w:w="3686" w:type="dxa"/>
            <w:vAlign w:val="center"/>
          </w:tcPr>
          <w:p w14:paraId="33D1EEE5">
            <w:pPr>
              <w:pStyle w:val="26"/>
              <w:keepNext w:val="0"/>
              <w:keepLines w:val="0"/>
              <w:widowControl/>
              <w:suppressLineNumbers w:val="0"/>
              <w:spacing w:before="150" w:beforeAutospacing="0" w:after="150" w:afterAutospacing="0" w:line="240" w:lineRule="auto"/>
              <w:ind w:left="0" w:leftChars="0" w:right="0" w:rightChars="0"/>
              <w:jc w:val="center"/>
              <w:rPr>
                <w:rFonts w:hint="eastAsia"/>
                <w:highlight w:val="none"/>
              </w:rPr>
            </w:pPr>
            <w:r>
              <w:rPr>
                <w:rFonts w:hint="default" w:ascii="Segoe UI" w:hAnsi="Segoe UI" w:eastAsia="Segoe UI" w:cs="Segoe UI"/>
                <w:i w:val="0"/>
                <w:iCs w:val="0"/>
                <w:caps w:val="0"/>
                <w:spacing w:val="0"/>
                <w:sz w:val="21"/>
                <w:szCs w:val="21"/>
                <w:highlight w:val="none"/>
              </w:rPr>
              <w:t>200万＜M</w:t>
            </w:r>
          </w:p>
        </w:tc>
        <w:tc>
          <w:tcPr>
            <w:tcW w:w="2424" w:type="dxa"/>
            <w:vAlign w:val="center"/>
          </w:tcPr>
          <w:p w14:paraId="54119383">
            <w:pPr>
              <w:pStyle w:val="26"/>
              <w:keepNext w:val="0"/>
              <w:keepLines w:val="0"/>
              <w:widowControl/>
              <w:suppressLineNumbers w:val="0"/>
              <w:spacing w:before="150" w:beforeAutospacing="0" w:after="150" w:afterAutospacing="0" w:line="240" w:lineRule="auto"/>
              <w:ind w:left="0" w:leftChars="0" w:right="0" w:rightChars="0"/>
              <w:jc w:val="center"/>
              <w:rPr>
                <w:rFonts w:hint="eastAsia"/>
                <w:highlight w:val="none"/>
              </w:rPr>
            </w:pPr>
            <w:r>
              <w:rPr>
                <w:rFonts w:hint="default" w:ascii="Segoe UI" w:hAnsi="Segoe UI" w:eastAsia="Segoe UI" w:cs="Segoe UI"/>
                <w:i w:val="0"/>
                <w:iCs w:val="0"/>
                <w:caps w:val="0"/>
                <w:spacing w:val="0"/>
                <w:sz w:val="21"/>
                <w:szCs w:val="21"/>
                <w:highlight w:val="none"/>
              </w:rPr>
              <w:t>3000元</w:t>
            </w:r>
          </w:p>
        </w:tc>
        <w:tc>
          <w:tcPr>
            <w:tcW w:w="1899" w:type="dxa"/>
            <w:vMerge w:val="continue"/>
            <w:vAlign w:val="center"/>
          </w:tcPr>
          <w:p w14:paraId="74863284">
            <w:pPr>
              <w:keepNext w:val="0"/>
              <w:keepLines w:val="0"/>
              <w:suppressLineNumbers w:val="0"/>
              <w:spacing w:before="0" w:beforeAutospacing="0" w:after="0" w:afterAutospacing="0" w:line="240" w:lineRule="auto"/>
              <w:ind w:left="0" w:right="0"/>
              <w:jc w:val="center"/>
              <w:rPr>
                <w:rFonts w:hint="eastAsia"/>
                <w:highlight w:val="none"/>
              </w:rPr>
            </w:pPr>
          </w:p>
        </w:tc>
      </w:tr>
    </w:tbl>
    <w:p w14:paraId="4F6E5E9B">
      <w:pPr>
        <w:pStyle w:val="4"/>
        <w:spacing w:before="0" w:after="0"/>
        <w:rPr>
          <w:rFonts w:hint="eastAsia"/>
          <w:color w:val="000000"/>
          <w:sz w:val="28"/>
          <w:highlight w:val="none"/>
          <w:u w:val="none"/>
        </w:rPr>
      </w:pPr>
      <w:bookmarkStart w:id="149" w:name="_Toc26404"/>
      <w:bookmarkStart w:id="150" w:name="_Ref467306513"/>
      <w:bookmarkStart w:id="151" w:name="_Toc17173"/>
      <w:bookmarkStart w:id="152" w:name="_Toc1982"/>
      <w:bookmarkStart w:id="153" w:name="_Toc4511"/>
      <w:bookmarkStart w:id="154" w:name="_Toc17788"/>
      <w:bookmarkStart w:id="155" w:name="_Toc515647771"/>
      <w:bookmarkStart w:id="156" w:name="_Toc11292"/>
      <w:bookmarkStart w:id="157" w:name="_Toc11514"/>
      <w:bookmarkStart w:id="158" w:name="_Toc26615"/>
      <w:bookmarkStart w:id="159" w:name="_Toc520356156"/>
      <w:r>
        <w:rPr>
          <w:rFonts w:hint="eastAsia"/>
          <w:color w:val="000000"/>
          <w:sz w:val="28"/>
          <w:highlight w:val="none"/>
          <w:u w:val="none"/>
        </w:rPr>
        <w:t>12.磋商保证金</w:t>
      </w:r>
      <w:bookmarkEnd w:id="149"/>
      <w:bookmarkEnd w:id="150"/>
      <w:bookmarkEnd w:id="151"/>
      <w:bookmarkEnd w:id="152"/>
      <w:bookmarkEnd w:id="153"/>
      <w:bookmarkEnd w:id="154"/>
      <w:bookmarkEnd w:id="155"/>
      <w:bookmarkEnd w:id="156"/>
      <w:bookmarkEnd w:id="157"/>
      <w:bookmarkEnd w:id="158"/>
      <w:bookmarkEnd w:id="159"/>
    </w:p>
    <w:p w14:paraId="583030A1">
      <w:pPr>
        <w:ind w:firstLine="480" w:firstLineChars="200"/>
        <w:rPr>
          <w:rFonts w:hint="eastAsia"/>
          <w:highlight w:val="none"/>
        </w:rPr>
      </w:pPr>
      <w:bookmarkStart w:id="160" w:name="_Toc32569"/>
      <w:bookmarkStart w:id="161" w:name="_Toc520356157"/>
      <w:bookmarkStart w:id="162" w:name="_Toc515647772"/>
      <w:bookmarkStart w:id="163" w:name="_Toc18269"/>
      <w:bookmarkStart w:id="164" w:name="_Toc23590"/>
      <w:r>
        <w:rPr>
          <w:rFonts w:hint="eastAsia"/>
          <w:highlight w:val="none"/>
        </w:rPr>
        <w:t>无</w:t>
      </w:r>
    </w:p>
    <w:p w14:paraId="4BC685E7">
      <w:pPr>
        <w:pStyle w:val="4"/>
        <w:spacing w:before="0" w:after="0"/>
        <w:rPr>
          <w:rFonts w:hint="eastAsia"/>
          <w:color w:val="000000"/>
          <w:sz w:val="28"/>
          <w:highlight w:val="none"/>
          <w:u w:val="none"/>
        </w:rPr>
      </w:pPr>
      <w:bookmarkStart w:id="165" w:name="_Toc8680"/>
      <w:bookmarkStart w:id="166" w:name="_Toc18125"/>
      <w:bookmarkStart w:id="167" w:name="_Toc11620"/>
      <w:bookmarkStart w:id="168" w:name="_Toc26262"/>
      <w:bookmarkStart w:id="169" w:name="_Toc12810"/>
      <w:r>
        <w:rPr>
          <w:rFonts w:hint="eastAsia"/>
          <w:color w:val="000000"/>
          <w:sz w:val="28"/>
          <w:highlight w:val="none"/>
          <w:u w:val="none"/>
        </w:rPr>
        <w:t>13.响应有效期</w:t>
      </w:r>
      <w:bookmarkEnd w:id="160"/>
      <w:bookmarkEnd w:id="161"/>
      <w:bookmarkEnd w:id="162"/>
      <w:bookmarkEnd w:id="163"/>
      <w:bookmarkEnd w:id="164"/>
      <w:bookmarkEnd w:id="165"/>
      <w:bookmarkEnd w:id="166"/>
      <w:bookmarkEnd w:id="167"/>
      <w:bookmarkEnd w:id="168"/>
      <w:bookmarkEnd w:id="169"/>
    </w:p>
    <w:p w14:paraId="1A0BBA99">
      <w:pPr>
        <w:ind w:firstLine="480" w:firstLineChars="200"/>
        <w:rPr>
          <w:rFonts w:hint="eastAsia"/>
          <w:highlight w:val="none"/>
        </w:rPr>
      </w:pPr>
      <w:r>
        <w:rPr>
          <w:rFonts w:hint="eastAsia"/>
          <w:highlight w:val="none"/>
        </w:rPr>
        <w:t>13.1响应应在供应商须知资料表中规定时间内保持有效。响应有效期不满足要求的响应，其响应文件将被认定为响应文件无效。</w:t>
      </w:r>
    </w:p>
    <w:p w14:paraId="4F024497">
      <w:pPr>
        <w:ind w:firstLine="480" w:firstLineChars="200"/>
        <w:rPr>
          <w:rFonts w:hint="eastAsia"/>
          <w:highlight w:val="none"/>
        </w:rPr>
      </w:pPr>
      <w:bookmarkStart w:id="170" w:name="_Toc515647773"/>
      <w:bookmarkStart w:id="171" w:name="_Toc17074"/>
      <w:bookmarkStart w:id="172" w:name="_Toc493"/>
      <w:bookmarkStart w:id="173" w:name="_Toc520356158"/>
      <w:r>
        <w:rPr>
          <w:rFonts w:hint="eastAsia"/>
          <w:highlight w:val="none"/>
        </w:rPr>
        <w:t>13.2因特殊原因，采购人或采购代理机构可以在原响应有效期截止之前，要求供应商延长响应文件的有效期。接受该要求的供应商将不会被要求和允许修正其响应，且本须知中有关磋商保证金的要求须在延长的有效期内继续有效。供应商可以拒绝延长响应有效期的要求，且不承担任何责任。上述要求和答复都应以书面形式提交。</w:t>
      </w:r>
    </w:p>
    <w:bookmarkEnd w:id="170"/>
    <w:bookmarkEnd w:id="171"/>
    <w:bookmarkEnd w:id="172"/>
    <w:bookmarkEnd w:id="173"/>
    <w:p w14:paraId="250E39DC">
      <w:pPr>
        <w:pStyle w:val="4"/>
        <w:spacing w:before="0" w:after="0"/>
        <w:rPr>
          <w:rFonts w:hint="eastAsia"/>
          <w:color w:val="000000"/>
          <w:sz w:val="28"/>
          <w:highlight w:val="none"/>
          <w:u w:val="none"/>
        </w:rPr>
      </w:pPr>
      <w:bookmarkStart w:id="174" w:name="_Toc518923077"/>
      <w:bookmarkStart w:id="175" w:name="_Toc19087083"/>
      <w:bookmarkStart w:id="176" w:name="_Toc7299"/>
      <w:bookmarkStart w:id="177" w:name="_Toc16562"/>
      <w:bookmarkStart w:id="178" w:name="_Toc31405"/>
      <w:bookmarkStart w:id="179" w:name="_Toc5185"/>
      <w:bookmarkStart w:id="180" w:name="_Toc14157"/>
      <w:bookmarkStart w:id="181" w:name="_Toc10116"/>
      <w:r>
        <w:rPr>
          <w:rFonts w:hint="eastAsia"/>
          <w:color w:val="000000"/>
          <w:sz w:val="28"/>
          <w:highlight w:val="none"/>
          <w:u w:val="none"/>
        </w:rPr>
        <w:t>14.响应文件的</w:t>
      </w:r>
      <w:bookmarkEnd w:id="174"/>
      <w:bookmarkEnd w:id="175"/>
      <w:r>
        <w:rPr>
          <w:rFonts w:hint="eastAsia"/>
          <w:color w:val="000000"/>
          <w:sz w:val="28"/>
          <w:highlight w:val="none"/>
          <w:u w:val="none"/>
        </w:rPr>
        <w:t>签字、盖章及规定</w:t>
      </w:r>
      <w:bookmarkEnd w:id="176"/>
      <w:bookmarkEnd w:id="177"/>
      <w:bookmarkEnd w:id="178"/>
      <w:bookmarkEnd w:id="179"/>
      <w:bookmarkEnd w:id="180"/>
      <w:bookmarkEnd w:id="181"/>
    </w:p>
    <w:p w14:paraId="2DCE8111">
      <w:pPr>
        <w:ind w:firstLine="480" w:firstLineChars="200"/>
        <w:rPr>
          <w:rFonts w:hint="eastAsia"/>
          <w:highlight w:val="none"/>
        </w:rPr>
      </w:pPr>
      <w:r>
        <w:rPr>
          <w:rFonts w:hint="eastAsia"/>
          <w:highlight w:val="none"/>
        </w:rPr>
        <w:t>14.1响应文件指定位置应由供应商</w:t>
      </w:r>
      <w:r>
        <w:rPr>
          <w:rFonts w:hint="eastAsia"/>
          <w:szCs w:val="20"/>
          <w:highlight w:val="none"/>
        </w:rPr>
        <w:t>法定代表人/负责人</w:t>
      </w:r>
      <w:r>
        <w:rPr>
          <w:rFonts w:hint="eastAsia"/>
          <w:highlight w:val="none"/>
        </w:rPr>
        <w:t>（非法人组织的负责人，下同）</w:t>
      </w:r>
      <w:r>
        <w:rPr>
          <w:rFonts w:hint="eastAsia"/>
          <w:szCs w:val="20"/>
          <w:highlight w:val="none"/>
        </w:rPr>
        <w:t>或授权代表人</w:t>
      </w:r>
      <w:r>
        <w:rPr>
          <w:rFonts w:hint="eastAsia"/>
          <w:highlight w:val="none"/>
        </w:rPr>
        <w:t>签字或盖章和盖公章。</w:t>
      </w:r>
    </w:p>
    <w:p w14:paraId="663A4257">
      <w:pPr>
        <w:ind w:firstLine="480" w:firstLineChars="200"/>
        <w:rPr>
          <w:rFonts w:hint="eastAsia"/>
          <w:highlight w:val="none"/>
        </w:rPr>
      </w:pPr>
      <w:r>
        <w:rPr>
          <w:rFonts w:hint="eastAsia"/>
          <w:highlight w:val="none"/>
        </w:rPr>
        <w:t>14.2响应文件因字迹潦草、表达不清所引起的后果由供应商负责。</w:t>
      </w:r>
    </w:p>
    <w:p w14:paraId="640FE349">
      <w:pPr>
        <w:ind w:firstLine="480" w:firstLineChars="200"/>
        <w:rPr>
          <w:rFonts w:hint="eastAsia"/>
          <w:highlight w:val="none"/>
        </w:rPr>
      </w:pPr>
      <w:r>
        <w:rPr>
          <w:rFonts w:hint="eastAsia"/>
          <w:highlight w:val="none"/>
        </w:rPr>
        <w:t>14.3供应商在响应文件及相关文件的签订、履行、通知等事项书面文件中的单位电子公章、印章、公章等处均仅指与当事人名称全称相一致的标准公章，不得使用其他形式（如带有“专用章”、“合同章”、“财务章”、“业务章”等字样）的印章；否则，磋商小组有权据此对其响应作无效报价处理。</w:t>
      </w:r>
    </w:p>
    <w:p w14:paraId="508F65FF">
      <w:pPr>
        <w:spacing w:line="240" w:lineRule="atLeast"/>
        <w:rPr>
          <w:rFonts w:hint="eastAsia"/>
          <w:highlight w:val="none"/>
          <w:lang w:val="en-GB"/>
        </w:rPr>
      </w:pPr>
    </w:p>
    <w:p w14:paraId="2848D8DB">
      <w:pPr>
        <w:pStyle w:val="3"/>
        <w:rPr>
          <w:rFonts w:hint="eastAsia"/>
          <w:color w:val="000000"/>
          <w:highlight w:val="none"/>
        </w:rPr>
      </w:pPr>
      <w:bookmarkStart w:id="182" w:name="_Toc20072"/>
      <w:bookmarkStart w:id="183" w:name="_Toc799"/>
      <w:bookmarkStart w:id="184" w:name="_Toc22306"/>
      <w:bookmarkStart w:id="185" w:name="_Toc515647774"/>
      <w:bookmarkStart w:id="186" w:name="_Toc520356159"/>
      <w:bookmarkStart w:id="187" w:name="_Toc216582808"/>
      <w:bookmarkStart w:id="188" w:name="_Toc11179"/>
      <w:bookmarkStart w:id="189" w:name="_Toc21366"/>
      <w:bookmarkStart w:id="190" w:name="_Toc5490"/>
      <w:bookmarkStart w:id="191" w:name="_Toc16865"/>
      <w:r>
        <w:rPr>
          <w:rFonts w:hint="eastAsia"/>
          <w:color w:val="000000"/>
          <w:highlight w:val="none"/>
        </w:rPr>
        <w:t>四、响应文件的递交</w:t>
      </w:r>
      <w:bookmarkEnd w:id="182"/>
      <w:bookmarkEnd w:id="183"/>
      <w:bookmarkEnd w:id="184"/>
      <w:bookmarkEnd w:id="185"/>
      <w:bookmarkEnd w:id="186"/>
      <w:bookmarkEnd w:id="187"/>
      <w:bookmarkEnd w:id="188"/>
      <w:bookmarkEnd w:id="189"/>
      <w:bookmarkEnd w:id="190"/>
      <w:bookmarkEnd w:id="191"/>
    </w:p>
    <w:p w14:paraId="0DB40EA5">
      <w:pPr>
        <w:pStyle w:val="4"/>
        <w:spacing w:before="0" w:after="0"/>
        <w:rPr>
          <w:rFonts w:hint="eastAsia"/>
          <w:color w:val="000000"/>
          <w:sz w:val="28"/>
          <w:highlight w:val="none"/>
          <w:u w:val="none"/>
        </w:rPr>
      </w:pPr>
      <w:bookmarkStart w:id="192" w:name="_Toc400"/>
      <w:bookmarkStart w:id="193" w:name="_Toc520356160"/>
      <w:bookmarkStart w:id="194" w:name="_Toc32337"/>
      <w:bookmarkStart w:id="195" w:name="_Toc21645"/>
      <w:bookmarkStart w:id="196" w:name="_Toc515647775"/>
      <w:bookmarkStart w:id="197" w:name="_Toc26177"/>
      <w:bookmarkStart w:id="198" w:name="_Toc30968"/>
      <w:bookmarkStart w:id="199" w:name="_Toc21425"/>
      <w:bookmarkStart w:id="200" w:name="_Toc29051"/>
      <w:bookmarkStart w:id="201" w:name="_Toc4054"/>
      <w:r>
        <w:rPr>
          <w:rFonts w:hint="eastAsia"/>
          <w:color w:val="000000"/>
          <w:sz w:val="28"/>
          <w:highlight w:val="none"/>
          <w:u w:val="none"/>
        </w:rPr>
        <w:t>15.响应文件</w:t>
      </w:r>
      <w:bookmarkEnd w:id="192"/>
      <w:bookmarkEnd w:id="193"/>
      <w:bookmarkEnd w:id="194"/>
      <w:bookmarkEnd w:id="195"/>
      <w:bookmarkEnd w:id="196"/>
      <w:r>
        <w:rPr>
          <w:rFonts w:hint="eastAsia"/>
          <w:color w:val="000000"/>
          <w:sz w:val="28"/>
          <w:highlight w:val="none"/>
          <w:u w:val="none"/>
        </w:rPr>
        <w:t>的递交</w:t>
      </w:r>
      <w:bookmarkEnd w:id="197"/>
      <w:bookmarkEnd w:id="198"/>
      <w:bookmarkEnd w:id="199"/>
      <w:bookmarkEnd w:id="200"/>
      <w:bookmarkEnd w:id="201"/>
    </w:p>
    <w:p w14:paraId="4FA2958D">
      <w:pPr>
        <w:ind w:firstLine="480" w:firstLineChars="200"/>
        <w:rPr>
          <w:rFonts w:hint="eastAsia"/>
          <w:highlight w:val="none"/>
        </w:rPr>
      </w:pPr>
      <w:bookmarkStart w:id="202" w:name="_Toc12751"/>
      <w:bookmarkStart w:id="203" w:name="_Toc515647776"/>
      <w:bookmarkStart w:id="204" w:name="_Toc520356161"/>
      <w:bookmarkStart w:id="205" w:name="_Toc9840"/>
      <w:bookmarkStart w:id="206" w:name="_Toc46238229"/>
      <w:r>
        <w:rPr>
          <w:rFonts w:hint="eastAsia"/>
          <w:highlight w:val="none"/>
        </w:rPr>
        <w:t>15.1本项目实行电子响应文件，供应商无须提交纸质响应文件。供应商应按照本项目竞争性磋商文件的要求编制、加密并递交响应文件。供应商在使用系统进行响应文件递交的过程中遇到涉及平台使用的任何问题，可致电平台技术支持热线咨询，咨询电话请见竞争性磋商公告。</w:t>
      </w:r>
    </w:p>
    <w:p w14:paraId="2B50123F">
      <w:pPr>
        <w:pStyle w:val="4"/>
        <w:spacing w:before="0" w:after="0"/>
        <w:rPr>
          <w:rFonts w:hint="eastAsia"/>
          <w:color w:val="000000"/>
          <w:sz w:val="28"/>
          <w:highlight w:val="none"/>
          <w:u w:val="none"/>
        </w:rPr>
      </w:pPr>
      <w:bookmarkStart w:id="207" w:name="_Toc543"/>
      <w:bookmarkStart w:id="208" w:name="_Toc16328"/>
      <w:bookmarkStart w:id="209" w:name="_Toc13080"/>
      <w:bookmarkStart w:id="210" w:name="_Toc26019"/>
      <w:bookmarkStart w:id="211" w:name="_Toc14388"/>
      <w:bookmarkStart w:id="212" w:name="_Toc7706"/>
      <w:r>
        <w:rPr>
          <w:rFonts w:hint="eastAsia"/>
          <w:color w:val="000000"/>
          <w:sz w:val="28"/>
          <w:highlight w:val="none"/>
          <w:u w:val="none"/>
        </w:rPr>
        <w:t>16.递交响应文件截止</w:t>
      </w:r>
      <w:bookmarkEnd w:id="202"/>
      <w:bookmarkEnd w:id="203"/>
      <w:bookmarkEnd w:id="204"/>
      <w:bookmarkEnd w:id="205"/>
      <w:bookmarkEnd w:id="206"/>
      <w:bookmarkEnd w:id="207"/>
      <w:r>
        <w:rPr>
          <w:rFonts w:hint="eastAsia"/>
          <w:color w:val="000000"/>
          <w:sz w:val="28"/>
          <w:highlight w:val="none"/>
          <w:u w:val="none"/>
        </w:rPr>
        <w:t>时间</w:t>
      </w:r>
      <w:bookmarkEnd w:id="208"/>
      <w:bookmarkEnd w:id="209"/>
      <w:bookmarkEnd w:id="210"/>
      <w:bookmarkEnd w:id="211"/>
      <w:bookmarkEnd w:id="212"/>
    </w:p>
    <w:p w14:paraId="39D8D46D">
      <w:pPr>
        <w:ind w:firstLine="480" w:firstLineChars="200"/>
        <w:rPr>
          <w:rFonts w:hint="eastAsia"/>
          <w:highlight w:val="none"/>
        </w:rPr>
      </w:pPr>
      <w:bookmarkStart w:id="213" w:name="_Toc518923081"/>
      <w:bookmarkStart w:id="214" w:name="_Toc520356162"/>
      <w:bookmarkStart w:id="215" w:name="_Toc46235089"/>
      <w:r>
        <w:rPr>
          <w:rFonts w:hint="eastAsia"/>
          <w:highlight w:val="none"/>
        </w:rPr>
        <w:t>16.1供应商递交响应文件的时间和地点：见供应商须知资料表。</w:t>
      </w:r>
    </w:p>
    <w:p w14:paraId="4E5A35C2">
      <w:pPr>
        <w:ind w:firstLine="480" w:firstLineChars="200"/>
        <w:rPr>
          <w:rFonts w:hint="eastAsia"/>
          <w:highlight w:val="none"/>
        </w:rPr>
      </w:pPr>
      <w:r>
        <w:rPr>
          <w:rFonts w:hint="eastAsia"/>
          <w:highlight w:val="none"/>
        </w:rPr>
        <w:t>16.2采购人和采购代理机构将拒绝接收在提交响应文件截止时间后递交的响应文件。</w:t>
      </w:r>
    </w:p>
    <w:p w14:paraId="75CD3D59">
      <w:pPr>
        <w:ind w:firstLine="480" w:firstLineChars="200"/>
        <w:rPr>
          <w:rFonts w:hint="eastAsia"/>
          <w:highlight w:val="none"/>
        </w:rPr>
      </w:pPr>
      <w:r>
        <w:rPr>
          <w:rFonts w:hint="eastAsia"/>
          <w:highlight w:val="none"/>
        </w:rPr>
        <w:t>16.3供应商所递交的响应文件不予退还。</w:t>
      </w:r>
    </w:p>
    <w:p w14:paraId="5DB7726C">
      <w:pPr>
        <w:ind w:firstLine="480" w:firstLineChars="200"/>
        <w:rPr>
          <w:rFonts w:hint="eastAsia"/>
          <w:highlight w:val="none"/>
        </w:rPr>
      </w:pPr>
      <w:r>
        <w:rPr>
          <w:rFonts w:hint="eastAsia"/>
          <w:highlight w:val="none"/>
        </w:rPr>
        <w:t>16.4本项目采用电子报价，须使用</w:t>
      </w:r>
      <w:r>
        <w:rPr>
          <w:rFonts w:hint="eastAsia"/>
          <w:color w:val="000000"/>
          <w:kern w:val="0"/>
          <w:highlight w:val="none"/>
          <w:lang w:eastAsia="zh-CN" w:bidi="ar"/>
        </w:rPr>
        <w:t>鲁采采电子招投标交易平台</w:t>
      </w:r>
      <w:r>
        <w:rPr>
          <w:rFonts w:hint="eastAsia"/>
          <w:highlight w:val="none"/>
        </w:rPr>
        <w:t>响应文件制作软件及CA为响应</w:t>
      </w:r>
      <w:r>
        <w:rPr>
          <w:rFonts w:hint="eastAsia"/>
          <w:kern w:val="0"/>
          <w:highlight w:val="none"/>
        </w:rPr>
        <w:t>文件加密，加密时响应文件均只能使用同一把企业 CA 证书进行加密，否则引起的解密失败的责任由供应商自行承担</w:t>
      </w:r>
      <w:r>
        <w:rPr>
          <w:rFonts w:hint="eastAsia"/>
          <w:highlight w:val="none"/>
        </w:rPr>
        <w:t>。</w:t>
      </w:r>
    </w:p>
    <w:p w14:paraId="61AD7312">
      <w:pPr>
        <w:ind w:firstLine="480" w:firstLineChars="200"/>
        <w:rPr>
          <w:rFonts w:hint="eastAsia"/>
          <w:highlight w:val="none"/>
        </w:rPr>
      </w:pPr>
      <w:r>
        <w:rPr>
          <w:rFonts w:hint="eastAsia"/>
          <w:highlight w:val="none"/>
        </w:rPr>
        <w:t>电子响应文件需于报价截止时间前自行上传至</w:t>
      </w:r>
      <w:r>
        <w:rPr>
          <w:rFonts w:hint="eastAsia"/>
          <w:color w:val="000000"/>
          <w:kern w:val="0"/>
          <w:highlight w:val="none"/>
          <w:lang w:eastAsia="zh-CN" w:bidi="ar"/>
        </w:rPr>
        <w:t>鲁采采电子招投标交易平台</w:t>
      </w:r>
      <w:r>
        <w:rPr>
          <w:rFonts w:hint="eastAsia"/>
          <w:highlight w:val="none"/>
        </w:rPr>
        <w:t>。</w:t>
      </w:r>
    </w:p>
    <w:p w14:paraId="56247193">
      <w:pPr>
        <w:ind w:firstLine="480" w:firstLineChars="200"/>
        <w:rPr>
          <w:rFonts w:hint="eastAsia"/>
          <w:highlight w:val="none"/>
        </w:rPr>
      </w:pPr>
      <w:r>
        <w:rPr>
          <w:rFonts w:hint="eastAsia"/>
          <w:highlight w:val="none"/>
        </w:rPr>
        <w:t>报价截止时间后未完成上传的，将被</w:t>
      </w:r>
      <w:r>
        <w:rPr>
          <w:rFonts w:hint="eastAsia"/>
          <w:color w:val="000000"/>
          <w:kern w:val="0"/>
          <w:highlight w:val="none"/>
          <w:lang w:eastAsia="zh-CN" w:bidi="ar"/>
        </w:rPr>
        <w:t>鲁采采电子招投标交易平台</w:t>
      </w:r>
      <w:r>
        <w:rPr>
          <w:rFonts w:hint="eastAsia"/>
          <w:highlight w:val="none"/>
        </w:rPr>
        <w:t>拒收。</w:t>
      </w:r>
    </w:p>
    <w:p w14:paraId="4F25EDCB">
      <w:pPr>
        <w:ind w:firstLine="480" w:firstLineChars="200"/>
        <w:rPr>
          <w:rFonts w:hint="eastAsia"/>
          <w:highlight w:val="none"/>
        </w:rPr>
      </w:pPr>
      <w:r>
        <w:rPr>
          <w:rFonts w:hint="eastAsia"/>
          <w:highlight w:val="none"/>
        </w:rPr>
        <w:t>报价截止时间后，供应商使用CA进行解密，解密时长一般为30分钟。</w:t>
      </w:r>
    </w:p>
    <w:p w14:paraId="7D2052F8">
      <w:pPr>
        <w:ind w:firstLine="480" w:firstLineChars="200"/>
        <w:rPr>
          <w:rFonts w:hint="eastAsia"/>
          <w:highlight w:val="none"/>
        </w:rPr>
      </w:pPr>
      <w:r>
        <w:rPr>
          <w:rFonts w:hint="eastAsia"/>
          <w:highlight w:val="none"/>
        </w:rPr>
        <w:t>若供应商CA即将到期或已过期，请确保在报价时CA在有效期内，供应商CA在续期后务必在报价截止时间前重新制作和上传电子响应文件，否则将造成电子响应文件无法进行解密。</w:t>
      </w:r>
    </w:p>
    <w:p w14:paraId="5C1BE635">
      <w:pPr>
        <w:ind w:firstLine="480" w:firstLineChars="200"/>
        <w:rPr>
          <w:rFonts w:hint="eastAsia"/>
          <w:highlight w:val="none"/>
        </w:rPr>
      </w:pPr>
      <w:r>
        <w:rPr>
          <w:rFonts w:hint="eastAsia"/>
          <w:highlight w:val="none"/>
        </w:rPr>
        <w:t>因供应商以下原因，报价将被拒绝：</w:t>
      </w:r>
    </w:p>
    <w:p w14:paraId="355B71AC">
      <w:pPr>
        <w:ind w:firstLine="480" w:firstLineChars="200"/>
        <w:rPr>
          <w:rFonts w:hint="eastAsia"/>
          <w:highlight w:val="none"/>
        </w:rPr>
      </w:pPr>
      <w:r>
        <w:rPr>
          <w:rFonts w:hint="eastAsia"/>
          <w:highlight w:val="none"/>
        </w:rPr>
        <w:t>1)报价截止时间前，供应商未成功上传响应文件的；</w:t>
      </w:r>
    </w:p>
    <w:p w14:paraId="102494FA">
      <w:pPr>
        <w:ind w:firstLine="480" w:firstLineChars="200"/>
        <w:rPr>
          <w:rFonts w:hint="eastAsia"/>
          <w:highlight w:val="none"/>
        </w:rPr>
      </w:pPr>
      <w:r>
        <w:rPr>
          <w:rFonts w:hint="eastAsia"/>
          <w:highlight w:val="none"/>
        </w:rPr>
        <w:t>2)对已生成的电子响应文件进行破解、修改、压缩等不当操作，或自备的解密电脑环境配置不当等原因导致无法解密的；</w:t>
      </w:r>
    </w:p>
    <w:p w14:paraId="6673E4DA">
      <w:pPr>
        <w:ind w:firstLine="480" w:firstLineChars="200"/>
        <w:rPr>
          <w:rFonts w:hint="eastAsia"/>
          <w:highlight w:val="none"/>
        </w:rPr>
      </w:pPr>
      <w:r>
        <w:rPr>
          <w:rFonts w:hint="eastAsia"/>
          <w:highlight w:val="none"/>
        </w:rPr>
        <w:t>3)报价时，CA过期失效、密码丢失，或者供应商CA在续期后未在报价截止时间前重新制作和上传电子响应文件，导致无法解密的。</w:t>
      </w:r>
    </w:p>
    <w:p w14:paraId="071F7B94">
      <w:pPr>
        <w:ind w:firstLine="480" w:firstLineChars="200"/>
        <w:rPr>
          <w:rFonts w:hint="eastAsia"/>
          <w:highlight w:val="none"/>
        </w:rPr>
      </w:pPr>
      <w:r>
        <w:rPr>
          <w:rFonts w:hint="eastAsia"/>
          <w:highlight w:val="none"/>
        </w:rPr>
        <w:t>4)报价截止时间后，供应商在规定时长内未能成功解密的。</w:t>
      </w:r>
    </w:p>
    <w:p w14:paraId="5DD4A452">
      <w:pPr>
        <w:pStyle w:val="4"/>
        <w:spacing w:before="0" w:after="0"/>
        <w:rPr>
          <w:rFonts w:hint="eastAsia"/>
          <w:color w:val="000000"/>
          <w:sz w:val="28"/>
          <w:highlight w:val="none"/>
          <w:u w:val="none"/>
        </w:rPr>
      </w:pPr>
      <w:bookmarkStart w:id="216" w:name="_Toc13603"/>
      <w:bookmarkStart w:id="217" w:name="_Toc18839"/>
      <w:bookmarkStart w:id="218" w:name="_Toc27393"/>
      <w:bookmarkStart w:id="219" w:name="_Toc25377"/>
      <w:bookmarkStart w:id="220" w:name="_Toc13197"/>
      <w:bookmarkStart w:id="221" w:name="_Toc5310"/>
      <w:r>
        <w:rPr>
          <w:rFonts w:hint="eastAsia"/>
          <w:color w:val="000000"/>
          <w:sz w:val="28"/>
          <w:highlight w:val="none"/>
          <w:u w:val="none"/>
        </w:rPr>
        <w:t>17.响应文件的接收、修改与撤回</w:t>
      </w:r>
      <w:bookmarkEnd w:id="213"/>
      <w:bookmarkEnd w:id="214"/>
      <w:bookmarkEnd w:id="215"/>
      <w:bookmarkEnd w:id="216"/>
      <w:bookmarkEnd w:id="217"/>
      <w:bookmarkEnd w:id="218"/>
      <w:bookmarkEnd w:id="219"/>
      <w:bookmarkEnd w:id="220"/>
      <w:bookmarkEnd w:id="221"/>
    </w:p>
    <w:p w14:paraId="41B0C989">
      <w:pPr>
        <w:ind w:firstLine="480" w:firstLineChars="200"/>
        <w:rPr>
          <w:rFonts w:hint="eastAsia"/>
          <w:highlight w:val="none"/>
        </w:rPr>
      </w:pPr>
      <w:r>
        <w:rPr>
          <w:rFonts w:hint="eastAsia"/>
          <w:highlight w:val="none"/>
        </w:rPr>
        <w:t>17.1采购人或采购代理机构将按竞争性磋商文件的规定接收响应文件。</w:t>
      </w:r>
    </w:p>
    <w:p w14:paraId="36306E41">
      <w:pPr>
        <w:ind w:firstLine="480" w:firstLineChars="200"/>
        <w:rPr>
          <w:rFonts w:hint="eastAsia"/>
          <w:highlight w:val="none"/>
        </w:rPr>
      </w:pPr>
      <w:r>
        <w:rPr>
          <w:rFonts w:hint="eastAsia"/>
          <w:highlight w:val="none"/>
        </w:rPr>
        <w:t>17.2递交响应文件以后，如果供应商要进行撤回的，须在提交响应文件截止时间前在</w:t>
      </w:r>
      <w:r>
        <w:rPr>
          <w:rFonts w:hint="eastAsia"/>
          <w:highlight w:val="none"/>
          <w:lang w:eastAsia="zh-CN"/>
        </w:rPr>
        <w:t>鲁采采电子招投标交易平台</w:t>
      </w:r>
      <w:r>
        <w:rPr>
          <w:rFonts w:hint="eastAsia"/>
          <w:highlight w:val="none"/>
        </w:rPr>
        <w:t>中进行撤回。</w:t>
      </w:r>
    </w:p>
    <w:p w14:paraId="7B027326">
      <w:pPr>
        <w:ind w:firstLine="480" w:firstLineChars="200"/>
        <w:rPr>
          <w:rFonts w:hint="eastAsia"/>
          <w:highlight w:val="none"/>
        </w:rPr>
      </w:pPr>
      <w:r>
        <w:rPr>
          <w:rFonts w:hint="eastAsia"/>
          <w:highlight w:val="none"/>
        </w:rPr>
        <w:t>17.3如果在提交响应文件截止时间前需要对已经成功生成并上传至</w:t>
      </w:r>
      <w:r>
        <w:rPr>
          <w:rFonts w:hint="eastAsia"/>
          <w:highlight w:val="none"/>
          <w:lang w:eastAsia="zh-CN"/>
        </w:rPr>
        <w:t>鲁采采电子招投标交易平台</w:t>
      </w:r>
      <w:r>
        <w:rPr>
          <w:rFonts w:hint="eastAsia"/>
          <w:highlight w:val="none"/>
        </w:rPr>
        <w:t>中进行撤回的电子响应文件进行修改、补充的，供应商应当先撤回原文件，使用自备计算机和响应文件制作软件重新制作生成新的电子响应文件，并在提交响应文件截止时间前重新上传。</w:t>
      </w:r>
    </w:p>
    <w:p w14:paraId="28087A35">
      <w:pPr>
        <w:ind w:firstLine="480" w:firstLineChars="200"/>
        <w:rPr>
          <w:rFonts w:hint="eastAsia"/>
          <w:highlight w:val="none"/>
        </w:rPr>
      </w:pPr>
      <w:r>
        <w:rPr>
          <w:rFonts w:hint="eastAsia"/>
          <w:highlight w:val="none"/>
        </w:rPr>
        <w:t>17.4在提交响应文件截止时间之后，供应商不得对其响应文件做任何修改。</w:t>
      </w:r>
    </w:p>
    <w:p w14:paraId="68451167">
      <w:pPr>
        <w:spacing w:line="240" w:lineRule="atLeast"/>
        <w:rPr>
          <w:rFonts w:hint="eastAsia"/>
          <w:highlight w:val="none"/>
        </w:rPr>
      </w:pPr>
    </w:p>
    <w:p w14:paraId="3CB98791">
      <w:pPr>
        <w:pStyle w:val="3"/>
        <w:rPr>
          <w:rFonts w:hint="eastAsia"/>
          <w:color w:val="000000"/>
          <w:highlight w:val="none"/>
        </w:rPr>
      </w:pPr>
      <w:bookmarkStart w:id="222" w:name="_Toc515647778"/>
      <w:bookmarkStart w:id="223" w:name="_Toc520356163"/>
      <w:bookmarkStart w:id="224" w:name="_Toc28398"/>
      <w:bookmarkStart w:id="225" w:name="_Toc12436"/>
      <w:bookmarkStart w:id="226" w:name="_Toc216582809"/>
      <w:bookmarkStart w:id="227" w:name="_Toc18477"/>
      <w:bookmarkStart w:id="228" w:name="_Toc28137"/>
      <w:bookmarkStart w:id="229" w:name="_Toc32085"/>
      <w:bookmarkStart w:id="230" w:name="_Toc6774"/>
      <w:bookmarkStart w:id="231" w:name="_Toc29467"/>
      <w:r>
        <w:rPr>
          <w:rFonts w:hint="eastAsia"/>
          <w:color w:val="000000"/>
          <w:highlight w:val="none"/>
        </w:rPr>
        <w:t>五、</w:t>
      </w:r>
      <w:bookmarkEnd w:id="222"/>
      <w:bookmarkEnd w:id="223"/>
      <w:bookmarkEnd w:id="224"/>
      <w:bookmarkEnd w:id="225"/>
      <w:bookmarkEnd w:id="226"/>
      <w:bookmarkEnd w:id="227"/>
      <w:r>
        <w:rPr>
          <w:rFonts w:hint="eastAsia"/>
          <w:color w:val="000000"/>
          <w:highlight w:val="none"/>
        </w:rPr>
        <w:t>磋商</w:t>
      </w:r>
      <w:bookmarkEnd w:id="228"/>
      <w:bookmarkEnd w:id="229"/>
      <w:bookmarkEnd w:id="230"/>
      <w:bookmarkEnd w:id="231"/>
    </w:p>
    <w:p w14:paraId="349295C6">
      <w:pPr>
        <w:pStyle w:val="4"/>
        <w:spacing w:before="0" w:after="0"/>
        <w:rPr>
          <w:rFonts w:hint="eastAsia"/>
          <w:color w:val="000000"/>
          <w:sz w:val="28"/>
          <w:highlight w:val="none"/>
          <w:u w:val="none"/>
        </w:rPr>
      </w:pPr>
      <w:bookmarkStart w:id="232" w:name="_Toc13167"/>
      <w:bookmarkStart w:id="233" w:name="_Toc2179"/>
      <w:bookmarkStart w:id="234" w:name="_Toc20401"/>
      <w:bookmarkStart w:id="235" w:name="_Toc6790"/>
      <w:bookmarkStart w:id="236" w:name="_Toc24821"/>
      <w:bookmarkStart w:id="237" w:name="_Toc6429"/>
      <w:r>
        <w:rPr>
          <w:rFonts w:hint="eastAsia"/>
          <w:color w:val="000000"/>
          <w:sz w:val="28"/>
          <w:highlight w:val="none"/>
          <w:u w:val="none"/>
        </w:rPr>
        <w:t>18.</w:t>
      </w:r>
      <w:bookmarkEnd w:id="232"/>
      <w:bookmarkEnd w:id="233"/>
      <w:r>
        <w:rPr>
          <w:rFonts w:hint="eastAsia"/>
          <w:color w:val="000000"/>
          <w:sz w:val="28"/>
          <w:highlight w:val="none"/>
          <w:u w:val="none"/>
        </w:rPr>
        <w:t>提交响应文件截止</w:t>
      </w:r>
      <w:bookmarkEnd w:id="234"/>
      <w:bookmarkEnd w:id="235"/>
      <w:bookmarkEnd w:id="236"/>
      <w:bookmarkEnd w:id="237"/>
    </w:p>
    <w:p w14:paraId="6525FE44">
      <w:pPr>
        <w:ind w:firstLine="480" w:firstLineChars="200"/>
        <w:rPr>
          <w:rFonts w:hint="eastAsia"/>
          <w:highlight w:val="none"/>
        </w:rPr>
      </w:pPr>
      <w:bookmarkStart w:id="238" w:name="_Toc520356165"/>
      <w:bookmarkStart w:id="239" w:name="_Toc19296"/>
      <w:bookmarkStart w:id="240" w:name="_Toc21372"/>
      <w:bookmarkStart w:id="241" w:name="_Toc515647780"/>
      <w:r>
        <w:rPr>
          <w:rFonts w:hint="eastAsia"/>
          <w:highlight w:val="none"/>
        </w:rPr>
        <w:t>18.1采购人和采购代理机构将按响应文件须知资料表规定的提交响应文件截止时间和地点组织磋商，磋商过程同时在</w:t>
      </w:r>
      <w:r>
        <w:rPr>
          <w:rFonts w:hint="eastAsia"/>
          <w:highlight w:val="none"/>
          <w:lang w:eastAsia="zh-CN"/>
        </w:rPr>
        <w:t>鲁采采电子招投标交易平台</w:t>
      </w:r>
      <w:r>
        <w:rPr>
          <w:rFonts w:hint="eastAsia"/>
          <w:highlight w:val="none"/>
        </w:rPr>
        <w:t>上进行。</w:t>
      </w:r>
    </w:p>
    <w:p w14:paraId="4C8338F7">
      <w:pPr>
        <w:ind w:firstLine="480" w:firstLineChars="200"/>
        <w:rPr>
          <w:rFonts w:hint="eastAsia"/>
          <w:highlight w:val="none"/>
        </w:rPr>
      </w:pPr>
      <w:r>
        <w:rPr>
          <w:rFonts w:hint="eastAsia"/>
          <w:highlight w:val="none"/>
        </w:rPr>
        <w:t>供应商不足3家的，不得磋商。</w:t>
      </w:r>
    </w:p>
    <w:p w14:paraId="0F965657">
      <w:pPr>
        <w:ind w:firstLine="480" w:firstLineChars="200"/>
        <w:rPr>
          <w:rFonts w:hint="eastAsia"/>
          <w:highlight w:val="none"/>
        </w:rPr>
      </w:pPr>
      <w:r>
        <w:rPr>
          <w:rFonts w:hint="eastAsia"/>
          <w:highlight w:val="none"/>
        </w:rPr>
        <w:t>18.2提交响应文件截止时，工作人员在</w:t>
      </w:r>
      <w:r>
        <w:rPr>
          <w:rFonts w:hint="eastAsia"/>
          <w:highlight w:val="none"/>
          <w:lang w:eastAsia="zh-CN"/>
        </w:rPr>
        <w:t>鲁采采电子招投标交易平台</w:t>
      </w:r>
      <w:r>
        <w:rPr>
          <w:rFonts w:hint="eastAsia"/>
          <w:highlight w:val="none"/>
        </w:rPr>
        <w:t>中公布供应商后，供应商在规定时间内在线解密，全部供应商解密完成或解密截止时间后，系统予以公开报价。</w:t>
      </w:r>
    </w:p>
    <w:p w14:paraId="6AADF66A">
      <w:pPr>
        <w:ind w:firstLine="480" w:firstLineChars="200"/>
        <w:rPr>
          <w:rFonts w:hint="eastAsia"/>
          <w:highlight w:val="none"/>
        </w:rPr>
      </w:pPr>
      <w:r>
        <w:rPr>
          <w:rFonts w:hint="eastAsia"/>
          <w:highlight w:val="none"/>
        </w:rPr>
        <w:t>18.</w:t>
      </w:r>
      <w:r>
        <w:rPr>
          <w:rFonts w:hint="eastAsia"/>
          <w:highlight w:val="none"/>
          <w:lang w:val="en-US" w:eastAsia="zh-CN"/>
        </w:rPr>
        <w:t>3</w:t>
      </w:r>
      <w:r>
        <w:rPr>
          <w:rFonts w:hint="eastAsia"/>
          <w:highlight w:val="none"/>
        </w:rPr>
        <w:t>在规定时间内成功解密即代表供应商完成报价，供应商未对解密后的报价进行电子签章确认的视为认同自己的报价。</w:t>
      </w:r>
    </w:p>
    <w:p w14:paraId="5051E222">
      <w:pPr>
        <w:ind w:firstLine="480" w:firstLineChars="200"/>
        <w:rPr>
          <w:rFonts w:hint="eastAsia"/>
          <w:highlight w:val="none"/>
        </w:rPr>
      </w:pPr>
      <w:r>
        <w:rPr>
          <w:rFonts w:hint="eastAsia"/>
          <w:highlight w:val="none"/>
        </w:rPr>
        <w:t>18.</w:t>
      </w:r>
      <w:r>
        <w:rPr>
          <w:rFonts w:hint="eastAsia"/>
          <w:highlight w:val="none"/>
          <w:lang w:val="en-US" w:eastAsia="zh-CN"/>
        </w:rPr>
        <w:t>4</w:t>
      </w:r>
      <w:r>
        <w:rPr>
          <w:rFonts w:hint="eastAsia"/>
          <w:highlight w:val="none"/>
        </w:rPr>
        <w:t>采购代理机构将对磋商过程进行记录，并存档备查。</w:t>
      </w:r>
    </w:p>
    <w:p w14:paraId="705D0226">
      <w:pPr>
        <w:pStyle w:val="4"/>
        <w:spacing w:before="0" w:after="0"/>
        <w:rPr>
          <w:rFonts w:hint="eastAsia"/>
          <w:color w:val="000000"/>
          <w:sz w:val="28"/>
          <w:highlight w:val="none"/>
          <w:u w:val="none"/>
        </w:rPr>
      </w:pPr>
      <w:bookmarkStart w:id="242" w:name="_Toc29988"/>
      <w:bookmarkStart w:id="243" w:name="_Toc27523"/>
      <w:bookmarkStart w:id="244" w:name="_Toc19530"/>
      <w:bookmarkStart w:id="245" w:name="_Toc411637993"/>
      <w:bookmarkStart w:id="246" w:name="_Toc21978"/>
      <w:bookmarkStart w:id="247" w:name="_Toc5972"/>
      <w:bookmarkStart w:id="248" w:name="_Toc19116"/>
      <w:r>
        <w:rPr>
          <w:rFonts w:hint="eastAsia"/>
          <w:color w:val="000000"/>
          <w:sz w:val="28"/>
          <w:highlight w:val="none"/>
          <w:u w:val="none"/>
        </w:rPr>
        <w:t>19.磋商小组</w:t>
      </w:r>
      <w:bookmarkEnd w:id="242"/>
      <w:bookmarkEnd w:id="243"/>
      <w:bookmarkEnd w:id="244"/>
      <w:bookmarkEnd w:id="245"/>
      <w:bookmarkEnd w:id="246"/>
      <w:bookmarkEnd w:id="247"/>
      <w:bookmarkEnd w:id="248"/>
    </w:p>
    <w:p w14:paraId="3B2856CE">
      <w:pPr>
        <w:ind w:firstLine="480"/>
        <w:rPr>
          <w:rFonts w:hint="eastAsia"/>
          <w:highlight w:val="none"/>
        </w:rPr>
      </w:pPr>
      <w:r>
        <w:rPr>
          <w:rFonts w:hint="eastAsia"/>
          <w:highlight w:val="none"/>
        </w:rPr>
        <w:t>19.1采购代理机构将按照《中华人民共和国政府采购法》及有关规定组建磋商小组。磋商小组由采购人代表及有关经济、技术等方面的专家3人（含）以上单数组成。</w:t>
      </w:r>
    </w:p>
    <w:p w14:paraId="1596DF00">
      <w:pPr>
        <w:ind w:firstLine="480"/>
        <w:rPr>
          <w:rFonts w:hint="eastAsia"/>
          <w:highlight w:val="none"/>
        </w:rPr>
      </w:pPr>
      <w:r>
        <w:rPr>
          <w:rFonts w:hint="eastAsia"/>
          <w:highlight w:val="none"/>
        </w:rPr>
        <w:t>19.2磋商小组具有依据竞争性磋商文件进行独立评审的权力，且不受外界任何因素的干扰。磋商小组成员需对评审结果独立写出评审意见，并承担责任。小组成员若拒绝在评审报告上签字且不陈述其不同意理由的，视为同意和接受。</w:t>
      </w:r>
    </w:p>
    <w:p w14:paraId="57F5C563">
      <w:pPr>
        <w:ind w:firstLine="480"/>
        <w:rPr>
          <w:rFonts w:hint="eastAsia"/>
          <w:highlight w:val="none"/>
        </w:rPr>
      </w:pPr>
      <w:r>
        <w:rPr>
          <w:rFonts w:hint="eastAsia"/>
          <w:highlight w:val="none"/>
        </w:rPr>
        <w:t>19.3磋商小组的职责：</w:t>
      </w:r>
    </w:p>
    <w:p w14:paraId="0AA23E43">
      <w:pPr>
        <w:ind w:left="240" w:leftChars="100" w:firstLine="480"/>
        <w:rPr>
          <w:rFonts w:hint="eastAsia"/>
          <w:highlight w:val="none"/>
        </w:rPr>
      </w:pPr>
      <w:r>
        <w:rPr>
          <w:rFonts w:hint="eastAsia"/>
          <w:highlight w:val="none"/>
        </w:rPr>
        <w:t>19.3.1审查响应文件是否符合竞争性磋商文件要求；</w:t>
      </w:r>
    </w:p>
    <w:p w14:paraId="0D3B34E9">
      <w:pPr>
        <w:ind w:left="240" w:leftChars="100" w:firstLine="480"/>
        <w:rPr>
          <w:rFonts w:hint="eastAsia"/>
          <w:highlight w:val="none"/>
        </w:rPr>
      </w:pPr>
      <w:r>
        <w:rPr>
          <w:rFonts w:hint="eastAsia"/>
          <w:highlight w:val="none"/>
        </w:rPr>
        <w:t>19.3.2要求供应商对响应文件有关事项做出解释或者澄清；</w:t>
      </w:r>
    </w:p>
    <w:p w14:paraId="33697456">
      <w:pPr>
        <w:ind w:left="240" w:leftChars="100" w:firstLine="480"/>
        <w:rPr>
          <w:rFonts w:hint="eastAsia"/>
          <w:highlight w:val="none"/>
        </w:rPr>
      </w:pPr>
      <w:r>
        <w:rPr>
          <w:rFonts w:hint="eastAsia"/>
          <w:highlight w:val="none"/>
        </w:rPr>
        <w:t>19.3.3按照竞争性磋商文件规定的评分标准进行评比和打分；</w:t>
      </w:r>
    </w:p>
    <w:p w14:paraId="6FA0C8BA">
      <w:pPr>
        <w:ind w:left="240" w:leftChars="100" w:firstLine="480"/>
        <w:rPr>
          <w:rFonts w:hint="eastAsia"/>
          <w:highlight w:val="none"/>
        </w:rPr>
      </w:pPr>
      <w:r>
        <w:rPr>
          <w:rFonts w:hint="eastAsia"/>
          <w:highlight w:val="none"/>
        </w:rPr>
        <w:t>19.3.4推荐成交候选供应商名单，或者受采购人委托按照事先确定的办法直接确定成交供应商；</w:t>
      </w:r>
    </w:p>
    <w:p w14:paraId="06417E56">
      <w:pPr>
        <w:ind w:left="240" w:leftChars="100" w:firstLine="480"/>
        <w:rPr>
          <w:rFonts w:hint="eastAsia"/>
          <w:highlight w:val="none"/>
        </w:rPr>
      </w:pPr>
      <w:r>
        <w:rPr>
          <w:rFonts w:hint="eastAsia"/>
          <w:highlight w:val="none"/>
        </w:rPr>
        <w:t>19.3.5向采购单位或者有关部门报告非法干预评审工作的行为。</w:t>
      </w:r>
    </w:p>
    <w:p w14:paraId="199858F9">
      <w:pPr>
        <w:ind w:firstLine="480"/>
        <w:rPr>
          <w:rFonts w:hint="eastAsia"/>
          <w:highlight w:val="none"/>
        </w:rPr>
      </w:pPr>
      <w:r>
        <w:rPr>
          <w:rFonts w:hint="eastAsia"/>
          <w:highlight w:val="none"/>
        </w:rPr>
        <w:t>19.4磋商小组的义务：</w:t>
      </w:r>
    </w:p>
    <w:p w14:paraId="049A16FC">
      <w:pPr>
        <w:ind w:left="240" w:leftChars="100" w:firstLine="480"/>
        <w:rPr>
          <w:rFonts w:hint="eastAsia"/>
          <w:highlight w:val="none"/>
        </w:rPr>
      </w:pPr>
      <w:r>
        <w:rPr>
          <w:rFonts w:hint="eastAsia"/>
          <w:highlight w:val="none"/>
        </w:rPr>
        <w:t>19.4.1遵纪守法，客观、公正、廉洁地履行职责；</w:t>
      </w:r>
    </w:p>
    <w:p w14:paraId="267082D0">
      <w:pPr>
        <w:ind w:left="240" w:leftChars="100" w:firstLine="480"/>
        <w:rPr>
          <w:rFonts w:hint="eastAsia"/>
          <w:highlight w:val="none"/>
        </w:rPr>
      </w:pPr>
      <w:r>
        <w:rPr>
          <w:rFonts w:hint="eastAsia"/>
          <w:highlight w:val="none"/>
        </w:rPr>
        <w:t>19.4.2按照竞争性磋商文件规定的评审办法和评审标准进行评审，对评审意见承担个人责任；</w:t>
      </w:r>
    </w:p>
    <w:p w14:paraId="4557210E">
      <w:pPr>
        <w:ind w:left="240" w:leftChars="100" w:firstLine="480"/>
        <w:rPr>
          <w:rFonts w:hint="eastAsia"/>
          <w:highlight w:val="none"/>
        </w:rPr>
      </w:pPr>
      <w:r>
        <w:rPr>
          <w:rFonts w:hint="eastAsia"/>
          <w:highlight w:val="none"/>
        </w:rPr>
        <w:t>19.4.3对评审过程和结果，以及供应商的商业秘密保密；</w:t>
      </w:r>
    </w:p>
    <w:p w14:paraId="3A9BF878">
      <w:pPr>
        <w:ind w:left="240" w:leftChars="100" w:firstLine="480"/>
        <w:rPr>
          <w:rFonts w:hint="eastAsia"/>
          <w:highlight w:val="none"/>
        </w:rPr>
      </w:pPr>
      <w:r>
        <w:rPr>
          <w:rFonts w:hint="eastAsia"/>
          <w:highlight w:val="none"/>
        </w:rPr>
        <w:t>19.4.4参与评审报告的起草；</w:t>
      </w:r>
    </w:p>
    <w:p w14:paraId="0C97DA08">
      <w:pPr>
        <w:ind w:left="240" w:leftChars="100" w:firstLine="480"/>
        <w:rPr>
          <w:rFonts w:hint="eastAsia"/>
          <w:highlight w:val="none"/>
        </w:rPr>
      </w:pPr>
      <w:r>
        <w:rPr>
          <w:rFonts w:hint="eastAsia"/>
          <w:highlight w:val="none"/>
        </w:rPr>
        <w:t>19.4.5配合财政部门的投诉处理工作；</w:t>
      </w:r>
    </w:p>
    <w:p w14:paraId="38940E7E">
      <w:pPr>
        <w:ind w:left="240" w:leftChars="100" w:firstLine="480"/>
        <w:rPr>
          <w:rFonts w:hint="eastAsia"/>
          <w:highlight w:val="none"/>
        </w:rPr>
      </w:pPr>
      <w:r>
        <w:rPr>
          <w:rFonts w:hint="eastAsia"/>
          <w:highlight w:val="none"/>
        </w:rPr>
        <w:t>19.4.6配合采购单位答复与会供应商提出的质疑。</w:t>
      </w:r>
    </w:p>
    <w:p w14:paraId="22FCCA59">
      <w:pPr>
        <w:pStyle w:val="4"/>
        <w:spacing w:before="0" w:after="0"/>
        <w:rPr>
          <w:rFonts w:hint="eastAsia"/>
          <w:color w:val="000000"/>
          <w:sz w:val="28"/>
          <w:highlight w:val="none"/>
          <w:u w:val="none"/>
        </w:rPr>
      </w:pPr>
      <w:bookmarkStart w:id="249" w:name="_Toc12237"/>
      <w:bookmarkStart w:id="250" w:name="_Toc2664"/>
      <w:bookmarkStart w:id="251" w:name="_Toc5910"/>
      <w:bookmarkStart w:id="252" w:name="_Toc31959"/>
      <w:bookmarkStart w:id="253" w:name="_Toc1883"/>
      <w:bookmarkStart w:id="254" w:name="_Toc31485"/>
      <w:r>
        <w:rPr>
          <w:rFonts w:hint="eastAsia"/>
          <w:color w:val="000000"/>
          <w:sz w:val="28"/>
          <w:highlight w:val="none"/>
          <w:u w:val="none"/>
        </w:rPr>
        <w:t>20.</w:t>
      </w:r>
      <w:bookmarkEnd w:id="238"/>
      <w:r>
        <w:rPr>
          <w:rFonts w:hint="eastAsia"/>
          <w:color w:val="000000"/>
          <w:sz w:val="28"/>
          <w:highlight w:val="none"/>
          <w:u w:val="none"/>
        </w:rPr>
        <w:t>资格审查</w:t>
      </w:r>
      <w:bookmarkEnd w:id="239"/>
      <w:bookmarkEnd w:id="240"/>
      <w:bookmarkEnd w:id="241"/>
      <w:bookmarkEnd w:id="249"/>
      <w:bookmarkEnd w:id="250"/>
      <w:bookmarkEnd w:id="251"/>
      <w:bookmarkEnd w:id="252"/>
      <w:bookmarkEnd w:id="253"/>
      <w:bookmarkEnd w:id="254"/>
    </w:p>
    <w:p w14:paraId="20089841">
      <w:pPr>
        <w:ind w:firstLine="480"/>
        <w:rPr>
          <w:rFonts w:hint="eastAsia"/>
          <w:highlight w:val="none"/>
        </w:rPr>
      </w:pPr>
      <w:bookmarkStart w:id="255" w:name="_Toc520356166"/>
      <w:bookmarkStart w:id="256" w:name="_Toc19949"/>
      <w:bookmarkStart w:id="257" w:name="_Toc28479"/>
      <w:bookmarkStart w:id="258" w:name="_Toc515647781"/>
      <w:r>
        <w:rPr>
          <w:rFonts w:hint="eastAsia"/>
          <w:highlight w:val="none"/>
        </w:rPr>
        <w:t>20.1磋商小组依据法律法规和竞争性磋商文件中规定的内容，对供应商的资格进行审查。未通过资格审查的供应商不进入磋商；通过资格审查的供应商不足3家的，不得磋商。</w:t>
      </w:r>
    </w:p>
    <w:p w14:paraId="4BD7243C">
      <w:pPr>
        <w:ind w:firstLine="480"/>
        <w:rPr>
          <w:rFonts w:hint="eastAsia"/>
          <w:highlight w:val="none"/>
        </w:rPr>
      </w:pPr>
      <w:r>
        <w:rPr>
          <w:rFonts w:hint="eastAsia"/>
          <w:highlight w:val="none"/>
        </w:rPr>
        <w:t>20.2采购人或采购代理机构将查询供应商的信用记录。</w:t>
      </w:r>
    </w:p>
    <w:p w14:paraId="6E6C4B9B">
      <w:pPr>
        <w:pageBreakBefore w:val="0"/>
        <w:widowControl w:val="0"/>
        <w:kinsoku/>
        <w:overflowPunct/>
        <w:topLinePunct w:val="0"/>
        <w:bidi w:val="0"/>
        <w:snapToGrid/>
        <w:spacing w:line="336" w:lineRule="auto"/>
        <w:ind w:left="240" w:leftChars="100" w:firstLine="480"/>
        <w:textAlignment w:val="auto"/>
        <w:rPr>
          <w:rFonts w:hint="eastAsia"/>
          <w:highlight w:val="none"/>
        </w:rPr>
      </w:pPr>
      <w:r>
        <w:rPr>
          <w:rFonts w:hint="eastAsia"/>
          <w:highlight w:val="none"/>
        </w:rPr>
        <w:t>20.2.1供应商在中国政府采购网（</w:t>
      </w:r>
      <w:r>
        <w:rPr>
          <w:highlight w:val="none"/>
        </w:rPr>
        <w:fldChar w:fldCharType="begin"/>
      </w:r>
      <w:r>
        <w:rPr>
          <w:highlight w:val="none"/>
        </w:rPr>
        <w:instrText xml:space="preserve"> HYPERLINK "http://www.ccgp.gov.cn" </w:instrText>
      </w:r>
      <w:r>
        <w:rPr>
          <w:highlight w:val="none"/>
        </w:rPr>
        <w:fldChar w:fldCharType="separate"/>
      </w:r>
      <w:r>
        <w:rPr>
          <w:rFonts w:hint="eastAsia"/>
          <w:highlight w:val="none"/>
        </w:rPr>
        <w:t>www.ccgp.gov.cn</w:t>
      </w:r>
      <w:r>
        <w:rPr>
          <w:rFonts w:hint="eastAsia"/>
          <w:highlight w:val="none"/>
        </w:rPr>
        <w:fldChar w:fldCharType="end"/>
      </w:r>
      <w:r>
        <w:rPr>
          <w:rFonts w:hint="eastAsia"/>
          <w:highlight w:val="none"/>
        </w:rPr>
        <w:t>）被列入政府采购严重违法失信行为记录名单，或在“信用中国”网站（</w:t>
      </w:r>
      <w:r>
        <w:rPr>
          <w:highlight w:val="none"/>
        </w:rPr>
        <w:fldChar w:fldCharType="begin"/>
      </w:r>
      <w:r>
        <w:rPr>
          <w:highlight w:val="none"/>
        </w:rPr>
        <w:instrText xml:space="preserve"> HYPERLINK "http://www.creditchina.gov.cn" </w:instrText>
      </w:r>
      <w:r>
        <w:rPr>
          <w:highlight w:val="none"/>
        </w:rPr>
        <w:fldChar w:fldCharType="separate"/>
      </w:r>
      <w:r>
        <w:rPr>
          <w:rFonts w:hint="eastAsia"/>
          <w:highlight w:val="none"/>
        </w:rPr>
        <w:t>www.creditchina.gov.cn</w:t>
      </w:r>
      <w:r>
        <w:rPr>
          <w:rFonts w:hint="eastAsia"/>
          <w:highlight w:val="none"/>
        </w:rPr>
        <w:fldChar w:fldCharType="end"/>
      </w:r>
      <w:r>
        <w:rPr>
          <w:rFonts w:hint="eastAsia"/>
          <w:highlight w:val="none"/>
        </w:rPr>
        <w:t>）被列入失信被执行人、重大税收违法案件当事人名单，以及存在《中华人民共和国政府采购法实施条例》第十九条规定的行政处罚记录的其响应文件将被认定为无效。</w:t>
      </w:r>
    </w:p>
    <w:p w14:paraId="6FECA57E">
      <w:pPr>
        <w:pageBreakBefore w:val="0"/>
        <w:widowControl w:val="0"/>
        <w:kinsoku/>
        <w:overflowPunct/>
        <w:topLinePunct w:val="0"/>
        <w:bidi w:val="0"/>
        <w:snapToGrid/>
        <w:spacing w:line="336" w:lineRule="auto"/>
        <w:ind w:left="240" w:leftChars="100" w:firstLine="480"/>
        <w:textAlignment w:val="auto"/>
        <w:rPr>
          <w:rFonts w:hint="eastAsia"/>
          <w:highlight w:val="none"/>
        </w:rPr>
      </w:pPr>
      <w:r>
        <w:rPr>
          <w:rFonts w:hint="eastAsia"/>
          <w:highlight w:val="none"/>
        </w:rPr>
        <w:t>20.2.2采购人或采购代理机构将信用记录查询网页打印并存档备查。供应商信用记录以采购人或采购代理机构查询结果为准。供应商自行提供的与网站信息不一致的其他证明材料亦不作为资格审查的依据。</w:t>
      </w:r>
    </w:p>
    <w:p w14:paraId="524FF56D">
      <w:pPr>
        <w:pageBreakBefore w:val="0"/>
        <w:widowControl w:val="0"/>
        <w:kinsoku/>
        <w:overflowPunct/>
        <w:topLinePunct w:val="0"/>
        <w:bidi w:val="0"/>
        <w:snapToGrid/>
        <w:spacing w:line="336" w:lineRule="auto"/>
        <w:ind w:left="240" w:leftChars="100" w:firstLine="480"/>
        <w:textAlignment w:val="auto"/>
        <w:rPr>
          <w:rFonts w:hint="eastAsia"/>
          <w:highlight w:val="none"/>
        </w:rPr>
      </w:pPr>
      <w:r>
        <w:rPr>
          <w:rFonts w:hint="eastAsia"/>
          <w:highlight w:val="none"/>
        </w:rPr>
        <w:t>在本竞争性磋商文件规定的查询时间之后，网站信息发生的任何变更均不再作为磋商依据。</w:t>
      </w:r>
    </w:p>
    <w:p w14:paraId="60874198">
      <w:pPr>
        <w:pStyle w:val="4"/>
        <w:pageBreakBefore w:val="0"/>
        <w:widowControl w:val="0"/>
        <w:kinsoku/>
        <w:overflowPunct/>
        <w:topLinePunct w:val="0"/>
        <w:bidi w:val="0"/>
        <w:snapToGrid/>
        <w:spacing w:before="0" w:after="0" w:line="336" w:lineRule="auto"/>
        <w:textAlignment w:val="auto"/>
        <w:rPr>
          <w:rFonts w:hint="eastAsia"/>
          <w:color w:val="000000"/>
          <w:sz w:val="28"/>
          <w:highlight w:val="none"/>
          <w:u w:val="none"/>
        </w:rPr>
      </w:pPr>
      <w:bookmarkStart w:id="259" w:name="_Toc13786"/>
      <w:bookmarkStart w:id="260" w:name="_Toc21520"/>
      <w:bookmarkStart w:id="261" w:name="_Toc27826"/>
      <w:bookmarkStart w:id="262" w:name="_Toc28780"/>
      <w:bookmarkStart w:id="263" w:name="_Toc28737"/>
      <w:bookmarkStart w:id="264" w:name="_Toc29289"/>
      <w:r>
        <w:rPr>
          <w:rFonts w:hint="eastAsia"/>
          <w:color w:val="000000"/>
          <w:sz w:val="28"/>
          <w:highlight w:val="none"/>
          <w:u w:val="none"/>
        </w:rPr>
        <w:t>21.响应文件</w:t>
      </w:r>
      <w:bookmarkEnd w:id="255"/>
      <w:r>
        <w:rPr>
          <w:rFonts w:hint="eastAsia"/>
          <w:color w:val="000000"/>
          <w:sz w:val="28"/>
          <w:highlight w:val="none"/>
          <w:u w:val="none"/>
        </w:rPr>
        <w:t>符合性审查与澄清</w:t>
      </w:r>
      <w:bookmarkEnd w:id="256"/>
      <w:bookmarkEnd w:id="257"/>
      <w:bookmarkEnd w:id="258"/>
      <w:bookmarkEnd w:id="259"/>
      <w:bookmarkEnd w:id="260"/>
      <w:bookmarkEnd w:id="261"/>
      <w:bookmarkEnd w:id="262"/>
      <w:bookmarkEnd w:id="263"/>
      <w:bookmarkEnd w:id="264"/>
    </w:p>
    <w:p w14:paraId="331D186B">
      <w:pPr>
        <w:pageBreakBefore w:val="0"/>
        <w:widowControl w:val="0"/>
        <w:kinsoku/>
        <w:overflowPunct/>
        <w:topLinePunct w:val="0"/>
        <w:bidi w:val="0"/>
        <w:snapToGrid/>
        <w:spacing w:line="336" w:lineRule="auto"/>
        <w:ind w:firstLine="480"/>
        <w:textAlignment w:val="auto"/>
        <w:rPr>
          <w:rFonts w:hint="eastAsia"/>
          <w:highlight w:val="none"/>
        </w:rPr>
      </w:pPr>
      <w:bookmarkStart w:id="265" w:name="_Toc520356167"/>
      <w:r>
        <w:rPr>
          <w:rFonts w:hint="eastAsia"/>
          <w:highlight w:val="none"/>
        </w:rPr>
        <w:t>21.1符合性审查是指依据竞争性磋商文件的规定，从响应文件的有效性、完整性和响应程度对竞争性磋商文件的响应程度进行审查，以确定是否对竞争性磋商文件的实质性要求做出响应。</w:t>
      </w:r>
      <w:bookmarkStart w:id="266" w:name="_Hlt522424701"/>
      <w:bookmarkEnd w:id="266"/>
    </w:p>
    <w:p w14:paraId="25283F87">
      <w:pPr>
        <w:pageBreakBefore w:val="0"/>
        <w:widowControl w:val="0"/>
        <w:kinsoku/>
        <w:overflowPunct/>
        <w:topLinePunct w:val="0"/>
        <w:bidi w:val="0"/>
        <w:snapToGrid/>
        <w:spacing w:line="336" w:lineRule="auto"/>
        <w:ind w:firstLine="480"/>
        <w:textAlignment w:val="auto"/>
        <w:rPr>
          <w:rFonts w:hint="eastAsia"/>
          <w:highlight w:val="none"/>
        </w:rPr>
      </w:pPr>
      <w:r>
        <w:rPr>
          <w:rFonts w:hint="eastAsia"/>
          <w:highlight w:val="none"/>
        </w:rPr>
        <w:t>21.2经磋商小组集体审核通过，对于不符合条件的供应商要说明其不符合要求的原因，由其法定代表人/负责人或授权代表人签字确认，供应商代表拒不签字的，并不影响磋商小组所做出的结论。</w:t>
      </w:r>
    </w:p>
    <w:p w14:paraId="1E77681A">
      <w:pPr>
        <w:pageBreakBefore w:val="0"/>
        <w:widowControl w:val="0"/>
        <w:kinsoku/>
        <w:overflowPunct/>
        <w:topLinePunct w:val="0"/>
        <w:bidi w:val="0"/>
        <w:snapToGrid/>
        <w:spacing w:line="336" w:lineRule="auto"/>
        <w:ind w:firstLine="480"/>
        <w:textAlignment w:val="auto"/>
        <w:rPr>
          <w:rFonts w:hint="eastAsia"/>
          <w:highlight w:val="none"/>
        </w:rPr>
      </w:pPr>
      <w:r>
        <w:rPr>
          <w:rFonts w:hint="eastAsia"/>
          <w:highlight w:val="none"/>
        </w:rPr>
        <w:t>21.3响应文件的澄清</w:t>
      </w:r>
    </w:p>
    <w:p w14:paraId="36DF55BB">
      <w:pPr>
        <w:pageBreakBefore w:val="0"/>
        <w:widowControl w:val="0"/>
        <w:kinsoku/>
        <w:overflowPunct/>
        <w:topLinePunct w:val="0"/>
        <w:bidi w:val="0"/>
        <w:snapToGrid/>
        <w:spacing w:line="336" w:lineRule="auto"/>
        <w:ind w:left="240" w:leftChars="100" w:firstLine="480"/>
        <w:textAlignment w:val="auto"/>
        <w:rPr>
          <w:rFonts w:hint="eastAsia"/>
          <w:highlight w:val="none"/>
        </w:rPr>
      </w:pPr>
      <w:r>
        <w:rPr>
          <w:rFonts w:hint="eastAsia"/>
          <w:highlight w:val="none"/>
        </w:rPr>
        <w:t>21.3.1在磋商期间，磋商小组将以书面方式要求供应商对其响应文件中含义不明确、对同类问题表述不一致或者有明显文字和计算错误的内容，以及磋商小组认为供应商的报价明显低于其他通过符合性检查供应商的报价，有可能影响履约的情况作必要的澄清、说明或补正。供应商的澄清、说明或补正应在磋商小组规定的时间内以书面方式进行，并不得超出响应文件范围或者改变响应文件的实质性内容。</w:t>
      </w:r>
    </w:p>
    <w:p w14:paraId="51F422AF">
      <w:pPr>
        <w:pageBreakBefore w:val="0"/>
        <w:widowControl w:val="0"/>
        <w:kinsoku/>
        <w:overflowPunct/>
        <w:topLinePunct w:val="0"/>
        <w:bidi w:val="0"/>
        <w:snapToGrid/>
        <w:spacing w:line="336" w:lineRule="auto"/>
        <w:ind w:left="240" w:leftChars="100" w:firstLine="480"/>
        <w:textAlignment w:val="auto"/>
        <w:rPr>
          <w:rFonts w:hint="eastAsia"/>
          <w:highlight w:val="none"/>
        </w:rPr>
      </w:pPr>
      <w:r>
        <w:rPr>
          <w:rFonts w:hint="eastAsia"/>
          <w:highlight w:val="none"/>
        </w:rPr>
        <w:t>21.3.2供应商的澄清、说明或补正将作为响应文件的一部分。</w:t>
      </w:r>
    </w:p>
    <w:p w14:paraId="7BA7056E">
      <w:pPr>
        <w:pageBreakBefore w:val="0"/>
        <w:widowControl w:val="0"/>
        <w:kinsoku/>
        <w:overflowPunct/>
        <w:topLinePunct w:val="0"/>
        <w:bidi w:val="0"/>
        <w:snapToGrid/>
        <w:spacing w:line="336" w:lineRule="auto"/>
        <w:ind w:firstLine="480"/>
        <w:textAlignment w:val="auto"/>
        <w:rPr>
          <w:rFonts w:hint="eastAsia"/>
          <w:highlight w:val="none"/>
        </w:rPr>
      </w:pPr>
      <w:r>
        <w:rPr>
          <w:rFonts w:hint="eastAsia"/>
          <w:highlight w:val="none"/>
        </w:rPr>
        <w:t>21.4供应商所报产品如被列入财政部与国家主管部门颁发的节能产品目录或环境标志产品目录，应提供符合要求的产品认证证书，在磋商时予以优先采购，具体优先采购办法见第5章评审方法和标准。</w:t>
      </w:r>
    </w:p>
    <w:p w14:paraId="49FF65FC">
      <w:pPr>
        <w:pageBreakBefore w:val="0"/>
        <w:widowControl w:val="0"/>
        <w:kinsoku/>
        <w:overflowPunct/>
        <w:topLinePunct w:val="0"/>
        <w:bidi w:val="0"/>
        <w:snapToGrid/>
        <w:spacing w:line="336" w:lineRule="auto"/>
        <w:ind w:firstLine="480"/>
        <w:textAlignment w:val="auto"/>
        <w:rPr>
          <w:rFonts w:hint="eastAsia"/>
          <w:highlight w:val="none"/>
        </w:rPr>
      </w:pPr>
      <w:r>
        <w:rPr>
          <w:rFonts w:hint="eastAsia"/>
          <w:highlight w:val="none"/>
        </w:rPr>
        <w:t>如采购人所采购产品为政府强制采购的节能产品，供应商应提供符合要求的产品认证证明材料，否则其响应文件将被认定为响应文件无效。</w:t>
      </w:r>
    </w:p>
    <w:p w14:paraId="65F84AA3">
      <w:pPr>
        <w:pStyle w:val="4"/>
        <w:pageBreakBefore w:val="0"/>
        <w:widowControl w:val="0"/>
        <w:kinsoku/>
        <w:overflowPunct/>
        <w:topLinePunct w:val="0"/>
        <w:bidi w:val="0"/>
        <w:snapToGrid/>
        <w:spacing w:before="0" w:after="0" w:line="336" w:lineRule="auto"/>
        <w:textAlignment w:val="auto"/>
        <w:rPr>
          <w:rFonts w:hint="eastAsia"/>
          <w:color w:val="000000"/>
          <w:sz w:val="28"/>
          <w:highlight w:val="none"/>
          <w:u w:val="none"/>
        </w:rPr>
      </w:pPr>
      <w:bookmarkStart w:id="267" w:name="_Toc515647783"/>
      <w:bookmarkStart w:id="268" w:name="_Toc6092"/>
      <w:bookmarkStart w:id="269" w:name="_Toc4950"/>
      <w:bookmarkStart w:id="270" w:name="_Toc14006"/>
      <w:bookmarkStart w:id="271" w:name="_Toc7016"/>
      <w:bookmarkStart w:id="272" w:name="_Toc25338"/>
      <w:bookmarkStart w:id="273" w:name="_Toc3629"/>
      <w:bookmarkStart w:id="274" w:name="_Toc17720"/>
      <w:bookmarkStart w:id="275" w:name="_Toc26531"/>
      <w:r>
        <w:rPr>
          <w:rFonts w:hint="eastAsia"/>
          <w:color w:val="000000"/>
          <w:sz w:val="28"/>
          <w:highlight w:val="none"/>
          <w:u w:val="none"/>
        </w:rPr>
        <w:t>22.</w:t>
      </w:r>
      <w:bookmarkEnd w:id="267"/>
      <w:r>
        <w:rPr>
          <w:rFonts w:hint="eastAsia"/>
          <w:color w:val="000000"/>
          <w:sz w:val="28"/>
          <w:highlight w:val="none"/>
          <w:u w:val="none"/>
        </w:rPr>
        <w:t>无效</w:t>
      </w:r>
      <w:bookmarkEnd w:id="268"/>
      <w:bookmarkEnd w:id="269"/>
      <w:r>
        <w:rPr>
          <w:rFonts w:hint="eastAsia"/>
          <w:color w:val="000000"/>
          <w:sz w:val="28"/>
          <w:highlight w:val="none"/>
          <w:u w:val="none"/>
        </w:rPr>
        <w:t>响应</w:t>
      </w:r>
      <w:bookmarkEnd w:id="270"/>
      <w:bookmarkEnd w:id="271"/>
      <w:bookmarkEnd w:id="272"/>
      <w:bookmarkEnd w:id="273"/>
      <w:bookmarkEnd w:id="274"/>
      <w:bookmarkEnd w:id="275"/>
    </w:p>
    <w:p w14:paraId="2C177DCB">
      <w:pPr>
        <w:pageBreakBefore w:val="0"/>
        <w:widowControl w:val="0"/>
        <w:kinsoku/>
        <w:overflowPunct/>
        <w:topLinePunct w:val="0"/>
        <w:bidi w:val="0"/>
        <w:snapToGrid/>
        <w:spacing w:line="336" w:lineRule="auto"/>
        <w:ind w:firstLine="480"/>
        <w:textAlignment w:val="auto"/>
        <w:rPr>
          <w:rFonts w:hint="eastAsia"/>
          <w:highlight w:val="none"/>
        </w:rPr>
      </w:pPr>
      <w:r>
        <w:rPr>
          <w:rFonts w:hint="eastAsia"/>
          <w:highlight w:val="none"/>
        </w:rPr>
        <w:t>22.1在比较与评价之前，根据本须知的规定，磋商小组要审查每份响应文件是否实质上响应了竞争性磋商文件的要求，未实质性响应磋商文件的响应文件按无效响应处理。</w:t>
      </w:r>
    </w:p>
    <w:p w14:paraId="3CF5B51A">
      <w:pPr>
        <w:pageBreakBefore w:val="0"/>
        <w:widowControl w:val="0"/>
        <w:kinsoku/>
        <w:overflowPunct/>
        <w:topLinePunct w:val="0"/>
        <w:bidi w:val="0"/>
        <w:snapToGrid/>
        <w:spacing w:line="336" w:lineRule="auto"/>
        <w:ind w:firstLine="480"/>
        <w:textAlignment w:val="auto"/>
        <w:rPr>
          <w:rFonts w:hint="eastAsia"/>
          <w:highlight w:val="none"/>
        </w:rPr>
      </w:pPr>
      <w:r>
        <w:rPr>
          <w:rFonts w:hint="eastAsia"/>
          <w:highlight w:val="none"/>
        </w:rPr>
        <w:t>22.2如发现下列情况之一的，其响应将被认定为响应无效：</w:t>
      </w:r>
    </w:p>
    <w:p w14:paraId="6217143C">
      <w:pPr>
        <w:pageBreakBefore w:val="0"/>
        <w:widowControl w:val="0"/>
        <w:kinsoku/>
        <w:overflowPunct/>
        <w:topLinePunct w:val="0"/>
        <w:bidi w:val="0"/>
        <w:snapToGrid/>
        <w:spacing w:line="336" w:lineRule="auto"/>
        <w:ind w:firstLine="720" w:firstLineChars="300"/>
        <w:textAlignment w:val="auto"/>
        <w:rPr>
          <w:rFonts w:hint="eastAsia"/>
          <w:highlight w:val="none"/>
        </w:rPr>
      </w:pPr>
      <w:r>
        <w:rPr>
          <w:rFonts w:hint="eastAsia"/>
          <w:highlight w:val="none"/>
        </w:rPr>
        <w:t>22.2.1提交响应文件截止时间前，供应商未成功上传电子响应文件的；</w:t>
      </w:r>
    </w:p>
    <w:p w14:paraId="709ED9A6">
      <w:pPr>
        <w:pageBreakBefore w:val="0"/>
        <w:widowControl w:val="0"/>
        <w:kinsoku/>
        <w:overflowPunct/>
        <w:topLinePunct w:val="0"/>
        <w:bidi w:val="0"/>
        <w:snapToGrid/>
        <w:spacing w:line="336" w:lineRule="auto"/>
        <w:ind w:firstLine="720" w:firstLineChars="300"/>
        <w:textAlignment w:val="auto"/>
        <w:rPr>
          <w:rFonts w:hint="eastAsia"/>
          <w:highlight w:val="none"/>
        </w:rPr>
      </w:pPr>
      <w:r>
        <w:rPr>
          <w:rFonts w:hint="eastAsia"/>
          <w:highlight w:val="none"/>
        </w:rPr>
        <w:t>22.2.2对已生成的电子响应文件进行破解、修改、压缩等不当操作，或自备的解密电脑环境配置不当等原因导致无法解密的；</w:t>
      </w:r>
    </w:p>
    <w:p w14:paraId="3B4092E6">
      <w:pPr>
        <w:pageBreakBefore w:val="0"/>
        <w:widowControl w:val="0"/>
        <w:kinsoku/>
        <w:overflowPunct/>
        <w:topLinePunct w:val="0"/>
        <w:bidi w:val="0"/>
        <w:snapToGrid/>
        <w:spacing w:line="336" w:lineRule="auto"/>
        <w:ind w:firstLine="720" w:firstLineChars="300"/>
        <w:textAlignment w:val="auto"/>
        <w:rPr>
          <w:rFonts w:hint="eastAsia"/>
          <w:highlight w:val="none"/>
        </w:rPr>
      </w:pPr>
      <w:r>
        <w:rPr>
          <w:rFonts w:hint="eastAsia"/>
          <w:highlight w:val="none"/>
        </w:rPr>
        <w:t xml:space="preserve">22.2.3提交响应文件截止时，实名认证证书过期失效、密码丢失，或者供应商实名认证证书在续期后未在提交响应文件截止前重新制作和上传电子响应文件，导致无法解密的。 </w:t>
      </w:r>
    </w:p>
    <w:p w14:paraId="219ACE37">
      <w:pPr>
        <w:pageBreakBefore w:val="0"/>
        <w:widowControl w:val="0"/>
        <w:kinsoku/>
        <w:overflowPunct/>
        <w:topLinePunct w:val="0"/>
        <w:bidi w:val="0"/>
        <w:snapToGrid/>
        <w:spacing w:line="336" w:lineRule="auto"/>
        <w:ind w:firstLine="720" w:firstLineChars="300"/>
        <w:textAlignment w:val="auto"/>
        <w:rPr>
          <w:rFonts w:hint="eastAsia"/>
          <w:highlight w:val="none"/>
        </w:rPr>
      </w:pPr>
      <w:r>
        <w:rPr>
          <w:rFonts w:hint="eastAsia"/>
          <w:highlight w:val="none"/>
        </w:rPr>
        <w:t>22.2.4提交响应文件截止时间后，供应商在规定时长内未能成功解密的。</w:t>
      </w:r>
    </w:p>
    <w:p w14:paraId="2355934F">
      <w:pPr>
        <w:pageBreakBefore w:val="0"/>
        <w:widowControl w:val="0"/>
        <w:kinsoku/>
        <w:overflowPunct/>
        <w:topLinePunct w:val="0"/>
        <w:bidi w:val="0"/>
        <w:snapToGrid/>
        <w:spacing w:line="336" w:lineRule="auto"/>
        <w:ind w:firstLine="720" w:firstLineChars="300"/>
        <w:textAlignment w:val="auto"/>
        <w:rPr>
          <w:rFonts w:hint="eastAsia"/>
          <w:highlight w:val="none"/>
        </w:rPr>
      </w:pPr>
      <w:r>
        <w:rPr>
          <w:rFonts w:hint="eastAsia"/>
          <w:highlight w:val="none"/>
        </w:rPr>
        <w:t>22.2.5响应文件标明的供应商的名称与法律上或通过验证时不一致的；</w:t>
      </w:r>
    </w:p>
    <w:p w14:paraId="0A5A4DE6">
      <w:pPr>
        <w:pageBreakBefore w:val="0"/>
        <w:widowControl w:val="0"/>
        <w:kinsoku/>
        <w:overflowPunct/>
        <w:topLinePunct w:val="0"/>
        <w:bidi w:val="0"/>
        <w:snapToGrid/>
        <w:spacing w:line="336" w:lineRule="auto"/>
        <w:ind w:left="240" w:leftChars="100" w:firstLine="480"/>
        <w:textAlignment w:val="auto"/>
        <w:rPr>
          <w:rFonts w:hint="eastAsia"/>
          <w:highlight w:val="none"/>
        </w:rPr>
      </w:pPr>
      <w:r>
        <w:rPr>
          <w:rFonts w:hint="eastAsia"/>
          <w:highlight w:val="none"/>
        </w:rPr>
        <w:t>22.2.6未按照竞争性磋商文件规定要求签字、盖章、加盖单位电子公章的；</w:t>
      </w:r>
    </w:p>
    <w:p w14:paraId="0B3CF3CE">
      <w:pPr>
        <w:pageBreakBefore w:val="0"/>
        <w:widowControl w:val="0"/>
        <w:kinsoku/>
        <w:overflowPunct/>
        <w:topLinePunct w:val="0"/>
        <w:bidi w:val="0"/>
        <w:snapToGrid/>
        <w:spacing w:line="336" w:lineRule="auto"/>
        <w:ind w:left="240" w:leftChars="100" w:firstLine="480"/>
        <w:textAlignment w:val="auto"/>
        <w:rPr>
          <w:rFonts w:hint="eastAsia"/>
          <w:highlight w:val="none"/>
        </w:rPr>
      </w:pPr>
      <w:r>
        <w:rPr>
          <w:rFonts w:hint="eastAsia"/>
          <w:highlight w:val="none"/>
        </w:rPr>
        <w:t>22.2.7未满足竞争性磋商文件商务和技术条款的实质性要求的；</w:t>
      </w:r>
    </w:p>
    <w:p w14:paraId="138C07A0">
      <w:pPr>
        <w:pageBreakBefore w:val="0"/>
        <w:widowControl w:val="0"/>
        <w:kinsoku/>
        <w:overflowPunct/>
        <w:topLinePunct w:val="0"/>
        <w:bidi w:val="0"/>
        <w:snapToGrid/>
        <w:spacing w:line="336" w:lineRule="auto"/>
        <w:ind w:left="240" w:leftChars="100" w:firstLine="480"/>
        <w:textAlignment w:val="auto"/>
        <w:rPr>
          <w:rFonts w:hint="eastAsia"/>
          <w:highlight w:val="none"/>
        </w:rPr>
      </w:pPr>
      <w:r>
        <w:rPr>
          <w:rFonts w:hint="eastAsia"/>
          <w:highlight w:val="none"/>
        </w:rPr>
        <w:t>22.2.8未按竞争性磋商文件规定提供政府强制采购节能产品的认证证明材料的；</w:t>
      </w:r>
    </w:p>
    <w:p w14:paraId="4F299DF1">
      <w:pPr>
        <w:pageBreakBefore w:val="0"/>
        <w:widowControl w:val="0"/>
        <w:kinsoku/>
        <w:overflowPunct/>
        <w:topLinePunct w:val="0"/>
        <w:bidi w:val="0"/>
        <w:snapToGrid/>
        <w:spacing w:line="336" w:lineRule="auto"/>
        <w:ind w:left="240" w:leftChars="100" w:firstLine="480"/>
        <w:textAlignment w:val="auto"/>
        <w:rPr>
          <w:rFonts w:hint="eastAsia"/>
          <w:highlight w:val="none"/>
        </w:rPr>
      </w:pPr>
      <w:r>
        <w:rPr>
          <w:rFonts w:hint="eastAsia"/>
          <w:highlight w:val="none"/>
        </w:rPr>
        <w:t>22.2.9报价超过项目预算或最高限价的；</w:t>
      </w:r>
    </w:p>
    <w:p w14:paraId="2FF04466">
      <w:pPr>
        <w:pageBreakBefore w:val="0"/>
        <w:widowControl w:val="0"/>
        <w:kinsoku/>
        <w:overflowPunct/>
        <w:topLinePunct w:val="0"/>
        <w:bidi w:val="0"/>
        <w:snapToGrid/>
        <w:spacing w:line="336" w:lineRule="auto"/>
        <w:ind w:firstLine="720" w:firstLineChars="300"/>
        <w:textAlignment w:val="auto"/>
        <w:rPr>
          <w:rFonts w:hint="eastAsia"/>
          <w:highlight w:val="none"/>
        </w:rPr>
      </w:pPr>
      <w:r>
        <w:rPr>
          <w:rFonts w:hint="eastAsia"/>
          <w:highlight w:val="none"/>
        </w:rPr>
        <w:t>22.2.10不同供应商的响应文件由同一台电脑或同一电子签名认证证书编制或上传的；</w:t>
      </w:r>
    </w:p>
    <w:p w14:paraId="6005039D">
      <w:pPr>
        <w:pageBreakBefore w:val="0"/>
        <w:widowControl w:val="0"/>
        <w:kinsoku/>
        <w:overflowPunct/>
        <w:topLinePunct w:val="0"/>
        <w:bidi w:val="0"/>
        <w:snapToGrid/>
        <w:spacing w:line="336" w:lineRule="auto"/>
        <w:ind w:firstLine="720" w:firstLineChars="300"/>
        <w:textAlignment w:val="auto"/>
        <w:rPr>
          <w:rFonts w:hint="eastAsia"/>
          <w:highlight w:val="none"/>
        </w:rPr>
      </w:pPr>
      <w:r>
        <w:rPr>
          <w:rFonts w:hint="eastAsia"/>
          <w:highlight w:val="none"/>
        </w:rPr>
        <w:t>22.2.11提供的有关资格、资质证明文件不真实，提供虚假报价材料的；</w:t>
      </w:r>
    </w:p>
    <w:p w14:paraId="3F4ABFF8">
      <w:pPr>
        <w:pageBreakBefore w:val="0"/>
        <w:widowControl w:val="0"/>
        <w:kinsoku/>
        <w:overflowPunct/>
        <w:topLinePunct w:val="0"/>
        <w:bidi w:val="0"/>
        <w:snapToGrid/>
        <w:spacing w:line="336" w:lineRule="auto"/>
        <w:ind w:left="240" w:leftChars="100" w:firstLine="480"/>
        <w:textAlignment w:val="auto"/>
        <w:rPr>
          <w:rFonts w:hint="eastAsia"/>
          <w:highlight w:val="none"/>
        </w:rPr>
      </w:pPr>
      <w:r>
        <w:rPr>
          <w:rFonts w:hint="eastAsia"/>
          <w:highlight w:val="none"/>
        </w:rPr>
        <w:t>22.2.1</w:t>
      </w:r>
      <w:r>
        <w:rPr>
          <w:rFonts w:hint="eastAsia"/>
          <w:highlight w:val="none"/>
          <w:lang w:val="en-US" w:eastAsia="zh-CN"/>
        </w:rPr>
        <w:t>2</w:t>
      </w:r>
      <w:r>
        <w:rPr>
          <w:rFonts w:hint="eastAsia"/>
          <w:highlight w:val="none"/>
        </w:rPr>
        <w:t>响应有效期不足的；</w:t>
      </w:r>
    </w:p>
    <w:p w14:paraId="0CFDF765">
      <w:pPr>
        <w:pageBreakBefore w:val="0"/>
        <w:widowControl w:val="0"/>
        <w:kinsoku/>
        <w:overflowPunct/>
        <w:topLinePunct w:val="0"/>
        <w:bidi w:val="0"/>
        <w:snapToGrid/>
        <w:spacing w:line="336" w:lineRule="auto"/>
        <w:ind w:left="240" w:leftChars="100" w:firstLine="480"/>
        <w:textAlignment w:val="auto"/>
        <w:rPr>
          <w:rFonts w:hint="eastAsia"/>
          <w:highlight w:val="none"/>
        </w:rPr>
      </w:pPr>
      <w:r>
        <w:rPr>
          <w:rFonts w:hint="eastAsia"/>
          <w:highlight w:val="none"/>
        </w:rPr>
        <w:t>22.2.1</w:t>
      </w:r>
      <w:r>
        <w:rPr>
          <w:rFonts w:hint="eastAsia"/>
          <w:highlight w:val="none"/>
          <w:lang w:val="en-US" w:eastAsia="zh-CN"/>
        </w:rPr>
        <w:t>3</w:t>
      </w:r>
      <w:r>
        <w:rPr>
          <w:rFonts w:hint="eastAsia"/>
          <w:highlight w:val="none"/>
        </w:rPr>
        <w:t>属于串通响应，或者依法被视为串通响应；</w:t>
      </w:r>
    </w:p>
    <w:p w14:paraId="657E396A">
      <w:pPr>
        <w:pageBreakBefore w:val="0"/>
        <w:widowControl w:val="0"/>
        <w:kinsoku/>
        <w:overflowPunct/>
        <w:topLinePunct w:val="0"/>
        <w:bidi w:val="0"/>
        <w:snapToGrid/>
        <w:spacing w:line="336" w:lineRule="auto"/>
        <w:ind w:left="240" w:leftChars="100" w:firstLine="480"/>
        <w:textAlignment w:val="auto"/>
        <w:rPr>
          <w:rFonts w:hint="eastAsia"/>
          <w:highlight w:val="none"/>
        </w:rPr>
      </w:pPr>
      <w:r>
        <w:rPr>
          <w:rFonts w:hint="eastAsia"/>
          <w:highlight w:val="none"/>
        </w:rPr>
        <w:t>22.2.1</w:t>
      </w:r>
      <w:r>
        <w:rPr>
          <w:rFonts w:hint="eastAsia"/>
          <w:highlight w:val="none"/>
          <w:lang w:val="en-US" w:eastAsia="zh-CN"/>
        </w:rPr>
        <w:t>4</w:t>
      </w:r>
      <w:r>
        <w:rPr>
          <w:rFonts w:hint="eastAsia"/>
          <w:highlight w:val="none"/>
        </w:rPr>
        <w:t>响应文件含有采购人不能接受的附加条件的；</w:t>
      </w:r>
    </w:p>
    <w:p w14:paraId="018F64B4">
      <w:pPr>
        <w:pageBreakBefore w:val="0"/>
        <w:widowControl w:val="0"/>
        <w:kinsoku/>
        <w:overflowPunct/>
        <w:topLinePunct w:val="0"/>
        <w:bidi w:val="0"/>
        <w:snapToGrid/>
        <w:spacing w:line="336" w:lineRule="auto"/>
        <w:ind w:left="240" w:leftChars="100" w:firstLine="480"/>
        <w:textAlignment w:val="auto"/>
        <w:rPr>
          <w:rFonts w:hint="eastAsia"/>
          <w:highlight w:val="none"/>
        </w:rPr>
      </w:pPr>
      <w:r>
        <w:rPr>
          <w:rFonts w:hint="eastAsia"/>
          <w:highlight w:val="none"/>
        </w:rPr>
        <w:t>22.2.1</w:t>
      </w:r>
      <w:r>
        <w:rPr>
          <w:rFonts w:hint="eastAsia"/>
          <w:highlight w:val="none"/>
          <w:lang w:val="en-US" w:eastAsia="zh-CN"/>
        </w:rPr>
        <w:t>5</w:t>
      </w:r>
      <w:r>
        <w:rPr>
          <w:rFonts w:hint="eastAsia"/>
          <w:highlight w:val="none"/>
        </w:rPr>
        <w:t>属于竞争性磋商文件规定的其他无效响应情形的；</w:t>
      </w:r>
    </w:p>
    <w:p w14:paraId="665F1968">
      <w:pPr>
        <w:pageBreakBefore w:val="0"/>
        <w:widowControl w:val="0"/>
        <w:kinsoku/>
        <w:overflowPunct/>
        <w:topLinePunct w:val="0"/>
        <w:bidi w:val="0"/>
        <w:snapToGrid/>
        <w:spacing w:line="336" w:lineRule="auto"/>
        <w:ind w:left="240" w:leftChars="100" w:firstLine="480"/>
        <w:textAlignment w:val="auto"/>
        <w:rPr>
          <w:rFonts w:hint="eastAsia"/>
          <w:highlight w:val="none"/>
        </w:rPr>
      </w:pPr>
      <w:r>
        <w:rPr>
          <w:rFonts w:hint="eastAsia"/>
          <w:highlight w:val="none"/>
        </w:rPr>
        <w:t>22.2.1</w:t>
      </w:r>
      <w:r>
        <w:rPr>
          <w:rFonts w:hint="eastAsia"/>
          <w:highlight w:val="none"/>
          <w:lang w:val="en-US" w:eastAsia="zh-CN"/>
        </w:rPr>
        <w:t>6</w:t>
      </w:r>
      <w:r>
        <w:rPr>
          <w:rFonts w:hint="eastAsia"/>
          <w:highlight w:val="none"/>
        </w:rPr>
        <w:t>不符合法规和竞争性磋商文件中规定的其他实质性要求的。</w:t>
      </w:r>
    </w:p>
    <w:p w14:paraId="695E8A2A">
      <w:pPr>
        <w:pStyle w:val="4"/>
        <w:pageBreakBefore w:val="0"/>
        <w:widowControl w:val="0"/>
        <w:kinsoku/>
        <w:overflowPunct/>
        <w:topLinePunct w:val="0"/>
        <w:bidi w:val="0"/>
        <w:snapToGrid/>
        <w:spacing w:before="0" w:after="0" w:line="336" w:lineRule="auto"/>
        <w:textAlignment w:val="auto"/>
        <w:rPr>
          <w:rFonts w:hint="eastAsia"/>
          <w:color w:val="000000"/>
          <w:sz w:val="28"/>
          <w:highlight w:val="none"/>
          <w:u w:val="none"/>
        </w:rPr>
      </w:pPr>
      <w:bookmarkStart w:id="276" w:name="_Toc8486"/>
      <w:bookmarkStart w:id="277" w:name="_Toc29849"/>
      <w:bookmarkStart w:id="278" w:name="_Toc26534"/>
      <w:bookmarkStart w:id="279" w:name="_Toc3612"/>
      <w:bookmarkStart w:id="280" w:name="_Toc20231"/>
      <w:bookmarkStart w:id="281" w:name="_Toc6002"/>
      <w:r>
        <w:rPr>
          <w:rFonts w:hint="eastAsia"/>
          <w:color w:val="000000"/>
          <w:sz w:val="28"/>
          <w:highlight w:val="none"/>
          <w:u w:val="none"/>
        </w:rPr>
        <w:t>23.</w:t>
      </w:r>
      <w:bookmarkEnd w:id="276"/>
      <w:r>
        <w:rPr>
          <w:rFonts w:hint="eastAsia"/>
          <w:color w:val="000000"/>
          <w:sz w:val="28"/>
          <w:highlight w:val="none"/>
          <w:u w:val="none"/>
        </w:rPr>
        <w:t>磋商</w:t>
      </w:r>
      <w:bookmarkEnd w:id="277"/>
      <w:bookmarkEnd w:id="278"/>
      <w:bookmarkEnd w:id="279"/>
      <w:bookmarkEnd w:id="280"/>
      <w:bookmarkEnd w:id="281"/>
    </w:p>
    <w:p w14:paraId="6AE74FDC">
      <w:pPr>
        <w:pageBreakBefore w:val="0"/>
        <w:widowControl w:val="0"/>
        <w:kinsoku/>
        <w:overflowPunct/>
        <w:topLinePunct w:val="0"/>
        <w:bidi w:val="0"/>
        <w:snapToGrid/>
        <w:spacing w:line="336" w:lineRule="auto"/>
        <w:ind w:firstLine="480"/>
        <w:textAlignment w:val="auto"/>
        <w:rPr>
          <w:rFonts w:hint="eastAsia"/>
          <w:highlight w:val="none"/>
        </w:rPr>
      </w:pPr>
      <w:r>
        <w:rPr>
          <w:rFonts w:hint="eastAsia"/>
          <w:highlight w:val="none"/>
        </w:rPr>
        <w:t>23.1磋商小组所有成员集中与供应商分别单独进行磋商。</w:t>
      </w:r>
    </w:p>
    <w:p w14:paraId="46EFAC9F">
      <w:pPr>
        <w:pageBreakBefore w:val="0"/>
        <w:widowControl w:val="0"/>
        <w:kinsoku/>
        <w:overflowPunct/>
        <w:topLinePunct w:val="0"/>
        <w:bidi w:val="0"/>
        <w:snapToGrid/>
        <w:spacing w:line="336" w:lineRule="auto"/>
        <w:ind w:firstLine="480"/>
        <w:textAlignment w:val="auto"/>
        <w:rPr>
          <w:rFonts w:hint="eastAsia"/>
          <w:highlight w:val="none"/>
        </w:rPr>
      </w:pPr>
      <w:r>
        <w:rPr>
          <w:rFonts w:hint="eastAsia"/>
          <w:highlight w:val="none"/>
        </w:rPr>
        <w:t>23.2磋商结束后，磋商小组应当要求所有实质性响应的供应商在规定时间内提交最后报价，</w:t>
      </w:r>
      <w:r>
        <w:rPr>
          <w:rFonts w:hint="eastAsia"/>
          <w:b/>
          <w:bCs/>
          <w:highlight w:val="none"/>
          <w:u w:val="single"/>
        </w:rPr>
        <w:t>最后报价</w:t>
      </w:r>
      <w:r>
        <w:rPr>
          <w:rFonts w:hint="eastAsia" w:ascii="宋体" w:hAnsi="宋体" w:eastAsia="宋体" w:cs="宋体"/>
          <w:b/>
          <w:bCs/>
          <w:highlight w:val="none"/>
          <w:u w:val="single"/>
        </w:rPr>
        <w:t>不得高于前一轮报价</w:t>
      </w:r>
      <w:r>
        <w:rPr>
          <w:rFonts w:hint="eastAsia" w:ascii="宋体" w:hAnsi="宋体" w:eastAsia="宋体" w:cs="宋体"/>
          <w:highlight w:val="none"/>
        </w:rPr>
        <w:t>，</w:t>
      </w:r>
      <w:r>
        <w:rPr>
          <w:rFonts w:hint="eastAsia"/>
          <w:highlight w:val="none"/>
        </w:rPr>
        <w:t>提交最后报价的供应商不得少于3家；</w:t>
      </w:r>
    </w:p>
    <w:p w14:paraId="73BE39C8">
      <w:pPr>
        <w:pageBreakBefore w:val="0"/>
        <w:widowControl w:val="0"/>
        <w:kinsoku/>
        <w:overflowPunct/>
        <w:topLinePunct w:val="0"/>
        <w:bidi w:val="0"/>
        <w:snapToGrid/>
        <w:spacing w:line="336" w:lineRule="auto"/>
        <w:ind w:firstLine="480"/>
        <w:textAlignment w:val="auto"/>
        <w:rPr>
          <w:rFonts w:hint="eastAsia"/>
          <w:highlight w:val="none"/>
        </w:rPr>
      </w:pPr>
      <w:r>
        <w:rPr>
          <w:rFonts w:hint="eastAsia"/>
          <w:highlight w:val="none"/>
        </w:rPr>
        <w:t>23.3最后报价是供应商响应文件的有效组成部分，供应商法定代表人/负责人或授权代表人对最后报价进行确认。节能、环保产品、中小微企业产品价格认定均按照最后报价后的浮动比例同比例进行调整。</w:t>
      </w:r>
    </w:p>
    <w:p w14:paraId="63BBAEAE">
      <w:pPr>
        <w:pStyle w:val="4"/>
        <w:pageBreakBefore w:val="0"/>
        <w:widowControl w:val="0"/>
        <w:kinsoku/>
        <w:overflowPunct/>
        <w:topLinePunct w:val="0"/>
        <w:bidi w:val="0"/>
        <w:snapToGrid/>
        <w:spacing w:before="0" w:after="0" w:line="336" w:lineRule="auto"/>
        <w:textAlignment w:val="auto"/>
        <w:rPr>
          <w:rFonts w:hint="eastAsia"/>
          <w:color w:val="000000"/>
          <w:sz w:val="28"/>
          <w:highlight w:val="none"/>
          <w:u w:val="none"/>
        </w:rPr>
      </w:pPr>
      <w:bookmarkStart w:id="282" w:name="_Toc22941"/>
      <w:bookmarkStart w:id="283" w:name="_Toc13652"/>
      <w:bookmarkStart w:id="284" w:name="_Toc515647784"/>
      <w:bookmarkStart w:id="285" w:name="_Toc1937"/>
      <w:bookmarkStart w:id="286" w:name="_Toc15815"/>
      <w:bookmarkStart w:id="287" w:name="_Toc2237"/>
      <w:bookmarkStart w:id="288" w:name="_Toc3894"/>
      <w:bookmarkStart w:id="289" w:name="_Toc27767"/>
      <w:bookmarkStart w:id="290" w:name="_Toc16662"/>
      <w:r>
        <w:rPr>
          <w:rFonts w:hint="eastAsia"/>
          <w:color w:val="000000"/>
          <w:sz w:val="28"/>
          <w:highlight w:val="none"/>
          <w:u w:val="none"/>
        </w:rPr>
        <w:t>24.</w:t>
      </w:r>
      <w:bookmarkEnd w:id="265"/>
      <w:bookmarkEnd w:id="282"/>
      <w:bookmarkEnd w:id="283"/>
      <w:bookmarkEnd w:id="284"/>
      <w:r>
        <w:rPr>
          <w:rFonts w:hint="eastAsia"/>
          <w:color w:val="000000"/>
          <w:sz w:val="28"/>
          <w:highlight w:val="none"/>
          <w:u w:val="none"/>
        </w:rPr>
        <w:t>比较和评价</w:t>
      </w:r>
      <w:bookmarkEnd w:id="285"/>
      <w:bookmarkEnd w:id="286"/>
      <w:bookmarkEnd w:id="287"/>
      <w:bookmarkEnd w:id="288"/>
      <w:bookmarkEnd w:id="289"/>
      <w:bookmarkEnd w:id="290"/>
    </w:p>
    <w:p w14:paraId="32294152">
      <w:pPr>
        <w:pageBreakBefore w:val="0"/>
        <w:widowControl w:val="0"/>
        <w:kinsoku/>
        <w:overflowPunct/>
        <w:topLinePunct w:val="0"/>
        <w:bidi w:val="0"/>
        <w:snapToGrid/>
        <w:spacing w:line="336" w:lineRule="auto"/>
        <w:ind w:firstLine="480"/>
        <w:textAlignment w:val="auto"/>
        <w:rPr>
          <w:rFonts w:hint="eastAsia"/>
          <w:highlight w:val="none"/>
        </w:rPr>
      </w:pPr>
      <w:r>
        <w:rPr>
          <w:rFonts w:hint="eastAsia"/>
          <w:highlight w:val="none"/>
        </w:rPr>
        <w:t>24.1经符合性审查合格的响应文件，磋商小组将根据竞争性磋商文件确定的评审方法和标准，对其技术部分和商务部分作进一步的比较和评价。</w:t>
      </w:r>
    </w:p>
    <w:p w14:paraId="73BBC725">
      <w:pPr>
        <w:pageBreakBefore w:val="0"/>
        <w:widowControl w:val="0"/>
        <w:kinsoku/>
        <w:overflowPunct/>
        <w:topLinePunct w:val="0"/>
        <w:bidi w:val="0"/>
        <w:snapToGrid/>
        <w:spacing w:line="336" w:lineRule="auto"/>
        <w:ind w:firstLine="480"/>
        <w:textAlignment w:val="auto"/>
        <w:rPr>
          <w:rFonts w:hint="eastAsia"/>
          <w:highlight w:val="none"/>
        </w:rPr>
      </w:pPr>
      <w:r>
        <w:rPr>
          <w:rFonts w:hint="eastAsia"/>
          <w:highlight w:val="none"/>
        </w:rPr>
        <w:t>24.2磋商严格按照竞争性磋商文件的要求和条件进行。详细评审标准见竞争性磋商文件第5章。</w:t>
      </w:r>
    </w:p>
    <w:p w14:paraId="05D3C6EA">
      <w:pPr>
        <w:pageBreakBefore w:val="0"/>
        <w:widowControl w:val="0"/>
        <w:kinsoku/>
        <w:overflowPunct/>
        <w:topLinePunct w:val="0"/>
        <w:bidi w:val="0"/>
        <w:snapToGrid/>
        <w:spacing w:line="336" w:lineRule="auto"/>
        <w:ind w:firstLine="480"/>
        <w:textAlignment w:val="auto"/>
        <w:rPr>
          <w:rFonts w:hint="eastAsia"/>
          <w:highlight w:val="none"/>
        </w:rPr>
      </w:pPr>
      <w:r>
        <w:rPr>
          <w:rFonts w:hint="eastAsia"/>
          <w:highlight w:val="none"/>
        </w:rPr>
        <w:t>24.3本次采购落实的政府采购政策详见竞争性磋商文件第5章。</w:t>
      </w:r>
    </w:p>
    <w:p w14:paraId="2882A4D9">
      <w:pPr>
        <w:pStyle w:val="4"/>
        <w:pageBreakBefore w:val="0"/>
        <w:widowControl w:val="0"/>
        <w:kinsoku/>
        <w:overflowPunct/>
        <w:topLinePunct w:val="0"/>
        <w:bidi w:val="0"/>
        <w:snapToGrid/>
        <w:spacing w:before="0" w:after="0" w:line="336" w:lineRule="auto"/>
        <w:textAlignment w:val="auto"/>
        <w:rPr>
          <w:rFonts w:hint="eastAsia"/>
          <w:color w:val="000000"/>
          <w:sz w:val="28"/>
          <w:highlight w:val="none"/>
          <w:u w:val="none"/>
        </w:rPr>
      </w:pPr>
      <w:bookmarkStart w:id="291" w:name="_Toc520356168"/>
      <w:bookmarkStart w:id="292" w:name="_Toc9378"/>
      <w:bookmarkStart w:id="293" w:name="_Toc20227"/>
      <w:bookmarkStart w:id="294" w:name="_Toc515647785"/>
      <w:bookmarkStart w:id="295" w:name="_Toc13614"/>
      <w:bookmarkStart w:id="296" w:name="_Toc25135"/>
      <w:bookmarkStart w:id="297" w:name="_Toc18657"/>
      <w:bookmarkStart w:id="298" w:name="_Toc14548"/>
      <w:bookmarkStart w:id="299" w:name="_Toc32467"/>
      <w:bookmarkStart w:id="300" w:name="_Toc21360"/>
      <w:r>
        <w:rPr>
          <w:rFonts w:hint="eastAsia"/>
          <w:color w:val="000000"/>
          <w:sz w:val="28"/>
          <w:highlight w:val="none"/>
          <w:u w:val="none"/>
        </w:rPr>
        <w:t>2</w:t>
      </w:r>
      <w:bookmarkEnd w:id="291"/>
      <w:r>
        <w:rPr>
          <w:rFonts w:hint="eastAsia"/>
          <w:color w:val="000000"/>
          <w:sz w:val="28"/>
          <w:highlight w:val="none"/>
          <w:u w:val="none"/>
        </w:rPr>
        <w:t>5.</w:t>
      </w:r>
      <w:bookmarkEnd w:id="292"/>
      <w:bookmarkEnd w:id="293"/>
      <w:bookmarkEnd w:id="294"/>
      <w:r>
        <w:rPr>
          <w:rFonts w:hint="eastAsia"/>
          <w:color w:val="000000"/>
          <w:sz w:val="28"/>
          <w:highlight w:val="none"/>
          <w:u w:val="none"/>
        </w:rPr>
        <w:t>采购项目终止</w:t>
      </w:r>
      <w:bookmarkEnd w:id="295"/>
      <w:bookmarkEnd w:id="296"/>
      <w:bookmarkEnd w:id="297"/>
      <w:bookmarkEnd w:id="298"/>
      <w:bookmarkEnd w:id="299"/>
      <w:bookmarkEnd w:id="300"/>
    </w:p>
    <w:p w14:paraId="36FAE842">
      <w:pPr>
        <w:pageBreakBefore w:val="0"/>
        <w:widowControl w:val="0"/>
        <w:kinsoku/>
        <w:wordWrap/>
        <w:overflowPunct/>
        <w:topLinePunct w:val="0"/>
        <w:bidi w:val="0"/>
        <w:snapToGrid/>
        <w:spacing w:line="336" w:lineRule="auto"/>
        <w:ind w:firstLine="480"/>
        <w:textAlignment w:val="auto"/>
        <w:rPr>
          <w:rFonts w:hint="eastAsia"/>
          <w:highlight w:val="none"/>
        </w:rPr>
      </w:pPr>
      <w:r>
        <w:rPr>
          <w:rFonts w:hint="eastAsia"/>
          <w:highlight w:val="none"/>
        </w:rPr>
        <w:t>出现下列情形之一的，采购人应当终止竞争性磋商采购活动，发布项目终止公告并说明原因，重新开展采购活动：</w:t>
      </w:r>
    </w:p>
    <w:p w14:paraId="52ACF422">
      <w:pPr>
        <w:pageBreakBefore w:val="0"/>
        <w:widowControl w:val="0"/>
        <w:kinsoku/>
        <w:wordWrap/>
        <w:overflowPunct/>
        <w:topLinePunct w:val="0"/>
        <w:bidi w:val="0"/>
        <w:snapToGrid/>
        <w:spacing w:line="336" w:lineRule="auto"/>
        <w:ind w:firstLine="480"/>
        <w:textAlignment w:val="auto"/>
        <w:rPr>
          <w:rFonts w:hint="eastAsia"/>
          <w:highlight w:val="none"/>
        </w:rPr>
      </w:pPr>
      <w:r>
        <w:rPr>
          <w:rFonts w:hint="eastAsia"/>
          <w:highlight w:val="none"/>
        </w:rPr>
        <w:t>（1）因情况变化，不再符合规定的竞争性磋商采购方式适用情形的；</w:t>
      </w:r>
    </w:p>
    <w:p w14:paraId="501E931E">
      <w:pPr>
        <w:pageBreakBefore w:val="0"/>
        <w:widowControl w:val="0"/>
        <w:kinsoku/>
        <w:wordWrap/>
        <w:overflowPunct/>
        <w:topLinePunct w:val="0"/>
        <w:bidi w:val="0"/>
        <w:snapToGrid/>
        <w:spacing w:line="336" w:lineRule="auto"/>
        <w:ind w:firstLine="480"/>
        <w:textAlignment w:val="auto"/>
        <w:rPr>
          <w:rFonts w:hint="eastAsia"/>
          <w:highlight w:val="none"/>
        </w:rPr>
      </w:pPr>
      <w:r>
        <w:rPr>
          <w:rFonts w:hint="eastAsia"/>
          <w:highlight w:val="none"/>
        </w:rPr>
        <w:t>（2）出现影响采购公正的违法、违规行为的；</w:t>
      </w:r>
    </w:p>
    <w:p w14:paraId="3FFECCC6">
      <w:pPr>
        <w:pageBreakBefore w:val="0"/>
        <w:widowControl w:val="0"/>
        <w:kinsoku/>
        <w:wordWrap/>
        <w:overflowPunct/>
        <w:topLinePunct w:val="0"/>
        <w:bidi w:val="0"/>
        <w:snapToGrid/>
        <w:spacing w:line="336" w:lineRule="auto"/>
        <w:ind w:firstLine="480"/>
        <w:textAlignment w:val="auto"/>
        <w:rPr>
          <w:rFonts w:hint="eastAsia"/>
          <w:highlight w:val="none"/>
        </w:rPr>
      </w:pPr>
      <w:r>
        <w:rPr>
          <w:rFonts w:hint="eastAsia"/>
          <w:highlight w:val="none"/>
        </w:rPr>
        <w:t>（3）除《政府采购竞争性磋商采购方式管理暂行办法》第三条第四项规定的情形外，在采购过程中符合要求的供应商或者报价未超过采购预算的供应商不足3家的。</w:t>
      </w:r>
    </w:p>
    <w:p w14:paraId="2D02B0D5">
      <w:pPr>
        <w:pStyle w:val="4"/>
        <w:pageBreakBefore w:val="0"/>
        <w:widowControl w:val="0"/>
        <w:kinsoku/>
        <w:wordWrap/>
        <w:overflowPunct/>
        <w:topLinePunct w:val="0"/>
        <w:bidi w:val="0"/>
        <w:snapToGrid/>
        <w:spacing w:before="0" w:after="0" w:line="336" w:lineRule="auto"/>
        <w:textAlignment w:val="auto"/>
        <w:rPr>
          <w:rFonts w:hint="eastAsia"/>
          <w:color w:val="000000"/>
          <w:sz w:val="28"/>
          <w:highlight w:val="none"/>
          <w:u w:val="none"/>
        </w:rPr>
      </w:pPr>
      <w:bookmarkStart w:id="301" w:name="_Toc24972"/>
      <w:bookmarkStart w:id="302" w:name="_Toc515647786"/>
      <w:bookmarkStart w:id="303" w:name="_Toc31289"/>
      <w:bookmarkStart w:id="304" w:name="_Toc23075"/>
      <w:bookmarkStart w:id="305" w:name="_Toc15955"/>
      <w:bookmarkStart w:id="306" w:name="_Toc24981"/>
      <w:bookmarkStart w:id="307" w:name="_Toc2343"/>
      <w:bookmarkStart w:id="308" w:name="_Toc19551"/>
      <w:bookmarkStart w:id="309" w:name="_Toc26092"/>
      <w:bookmarkStart w:id="310" w:name="_Toc520356169"/>
      <w:r>
        <w:rPr>
          <w:rFonts w:hint="eastAsia"/>
          <w:color w:val="000000"/>
          <w:sz w:val="28"/>
          <w:highlight w:val="none"/>
          <w:u w:val="none"/>
        </w:rPr>
        <w:t>26.保密</w:t>
      </w:r>
      <w:bookmarkEnd w:id="301"/>
      <w:bookmarkEnd w:id="302"/>
      <w:bookmarkEnd w:id="303"/>
      <w:r>
        <w:rPr>
          <w:rFonts w:hint="eastAsia"/>
          <w:color w:val="000000"/>
          <w:sz w:val="28"/>
          <w:highlight w:val="none"/>
          <w:u w:val="none"/>
        </w:rPr>
        <w:t>要求</w:t>
      </w:r>
      <w:bookmarkEnd w:id="304"/>
      <w:bookmarkEnd w:id="305"/>
      <w:bookmarkEnd w:id="306"/>
      <w:bookmarkEnd w:id="307"/>
      <w:bookmarkEnd w:id="308"/>
      <w:bookmarkEnd w:id="309"/>
    </w:p>
    <w:p w14:paraId="5B469A3E">
      <w:pPr>
        <w:pageBreakBefore w:val="0"/>
        <w:widowControl w:val="0"/>
        <w:kinsoku/>
        <w:wordWrap/>
        <w:overflowPunct/>
        <w:topLinePunct w:val="0"/>
        <w:bidi w:val="0"/>
        <w:snapToGrid/>
        <w:spacing w:line="336" w:lineRule="auto"/>
        <w:ind w:firstLine="480"/>
        <w:textAlignment w:val="auto"/>
        <w:rPr>
          <w:rFonts w:hint="eastAsia"/>
          <w:highlight w:val="none"/>
        </w:rPr>
      </w:pPr>
      <w:r>
        <w:rPr>
          <w:rFonts w:hint="eastAsia"/>
          <w:highlight w:val="none"/>
        </w:rPr>
        <w:t>26.1磋商将在严格保密的情况下进行。</w:t>
      </w:r>
    </w:p>
    <w:p w14:paraId="3E982593">
      <w:pPr>
        <w:pageBreakBefore w:val="0"/>
        <w:widowControl w:val="0"/>
        <w:kinsoku/>
        <w:wordWrap/>
        <w:overflowPunct/>
        <w:topLinePunct w:val="0"/>
        <w:bidi w:val="0"/>
        <w:snapToGrid/>
        <w:spacing w:line="336" w:lineRule="auto"/>
        <w:ind w:firstLine="480"/>
        <w:textAlignment w:val="auto"/>
        <w:rPr>
          <w:rFonts w:hint="eastAsia"/>
          <w:highlight w:val="none"/>
        </w:rPr>
      </w:pPr>
      <w:r>
        <w:rPr>
          <w:rFonts w:hint="eastAsia"/>
          <w:highlight w:val="none"/>
        </w:rPr>
        <w:t>26.2政府采购评审专家应当遵守磋商工作纪律，不得记录、复制或者带走任何评标资料，不得泄露竞争性磋商文件、磋商情况和磋商中获悉的商业秘密。</w:t>
      </w:r>
    </w:p>
    <w:p w14:paraId="6DE64534">
      <w:pPr>
        <w:pageBreakBefore w:val="0"/>
        <w:widowControl w:val="0"/>
        <w:kinsoku/>
        <w:overflowPunct/>
        <w:topLinePunct w:val="0"/>
        <w:bidi w:val="0"/>
        <w:snapToGrid/>
        <w:spacing w:line="336" w:lineRule="auto"/>
        <w:textAlignment w:val="auto"/>
        <w:rPr>
          <w:rFonts w:hint="eastAsia"/>
          <w:highlight w:val="none"/>
        </w:rPr>
      </w:pPr>
    </w:p>
    <w:p w14:paraId="35F9BCB3">
      <w:pPr>
        <w:pStyle w:val="3"/>
        <w:pageBreakBefore w:val="0"/>
        <w:widowControl w:val="0"/>
        <w:kinsoku/>
        <w:overflowPunct/>
        <w:topLinePunct w:val="0"/>
        <w:bidi w:val="0"/>
        <w:snapToGrid/>
        <w:spacing w:line="336" w:lineRule="auto"/>
        <w:textAlignment w:val="auto"/>
        <w:rPr>
          <w:rFonts w:hint="eastAsia"/>
          <w:color w:val="000000"/>
          <w:highlight w:val="none"/>
        </w:rPr>
      </w:pPr>
      <w:bookmarkStart w:id="311" w:name="_Toc32303"/>
      <w:bookmarkStart w:id="312" w:name="_Toc20759"/>
      <w:bookmarkStart w:id="313" w:name="_Toc23904"/>
      <w:bookmarkStart w:id="314" w:name="_Toc216582810"/>
      <w:bookmarkStart w:id="315" w:name="_Toc515647787"/>
      <w:bookmarkStart w:id="316" w:name="_Toc18069"/>
      <w:bookmarkStart w:id="317" w:name="_Toc12143"/>
      <w:bookmarkStart w:id="318" w:name="_Toc11617"/>
      <w:bookmarkStart w:id="319" w:name="_Toc11945"/>
      <w:r>
        <w:rPr>
          <w:rFonts w:hint="eastAsia"/>
          <w:color w:val="000000"/>
          <w:highlight w:val="none"/>
        </w:rPr>
        <w:t>六</w:t>
      </w:r>
      <w:bookmarkEnd w:id="310"/>
      <w:r>
        <w:rPr>
          <w:rFonts w:hint="eastAsia"/>
          <w:color w:val="000000"/>
          <w:highlight w:val="none"/>
        </w:rPr>
        <w:t>、确定成交</w:t>
      </w:r>
      <w:bookmarkEnd w:id="311"/>
      <w:bookmarkEnd w:id="312"/>
      <w:bookmarkEnd w:id="313"/>
      <w:bookmarkEnd w:id="314"/>
      <w:bookmarkEnd w:id="315"/>
      <w:bookmarkEnd w:id="316"/>
      <w:bookmarkEnd w:id="317"/>
      <w:bookmarkEnd w:id="318"/>
      <w:bookmarkEnd w:id="319"/>
    </w:p>
    <w:p w14:paraId="48C8EC94">
      <w:pPr>
        <w:pStyle w:val="4"/>
        <w:pageBreakBefore w:val="0"/>
        <w:widowControl w:val="0"/>
        <w:kinsoku/>
        <w:overflowPunct/>
        <w:topLinePunct w:val="0"/>
        <w:bidi w:val="0"/>
        <w:snapToGrid/>
        <w:spacing w:before="0" w:after="0" w:line="336" w:lineRule="auto"/>
        <w:textAlignment w:val="auto"/>
        <w:rPr>
          <w:rFonts w:hint="eastAsia"/>
          <w:color w:val="000000"/>
          <w:sz w:val="28"/>
          <w:highlight w:val="none"/>
          <w:u w:val="none"/>
        </w:rPr>
      </w:pPr>
      <w:bookmarkStart w:id="320" w:name="_Toc22899"/>
      <w:bookmarkStart w:id="321" w:name="_Toc25813"/>
      <w:bookmarkStart w:id="322" w:name="_Toc7024"/>
      <w:bookmarkStart w:id="323" w:name="_Toc26498"/>
      <w:bookmarkStart w:id="324" w:name="_Toc51176613"/>
      <w:bookmarkStart w:id="325" w:name="_Toc25426"/>
      <w:bookmarkStart w:id="326" w:name="_Toc25255"/>
      <w:r>
        <w:rPr>
          <w:rFonts w:hint="eastAsia"/>
          <w:color w:val="000000"/>
          <w:sz w:val="28"/>
          <w:highlight w:val="none"/>
          <w:u w:val="none"/>
        </w:rPr>
        <w:t>27.推荐成交候选供应商</w:t>
      </w:r>
      <w:bookmarkEnd w:id="320"/>
      <w:bookmarkEnd w:id="321"/>
      <w:bookmarkEnd w:id="322"/>
    </w:p>
    <w:p w14:paraId="5F28C387">
      <w:pPr>
        <w:pageBreakBefore w:val="0"/>
        <w:widowControl w:val="0"/>
        <w:kinsoku/>
        <w:wordWrap w:val="0"/>
        <w:overflowPunct/>
        <w:topLinePunct w:val="0"/>
        <w:bidi w:val="0"/>
        <w:snapToGrid/>
        <w:spacing w:line="336" w:lineRule="auto"/>
        <w:ind w:firstLine="480" w:firstLineChars="200"/>
        <w:textAlignment w:val="auto"/>
        <w:rPr>
          <w:rFonts w:hint="eastAsia"/>
          <w:highlight w:val="none"/>
        </w:rPr>
      </w:pPr>
      <w:r>
        <w:rPr>
          <w:rFonts w:hint="eastAsia"/>
          <w:highlight w:val="none"/>
          <w:lang w:val="en-US" w:eastAsia="zh-CN"/>
        </w:rPr>
        <w:t>27.1</w:t>
      </w:r>
      <w:r>
        <w:rPr>
          <w:rFonts w:hint="eastAsia"/>
          <w:highlight w:val="none"/>
        </w:rPr>
        <w:t>磋商小组按照综合评分由高到低的顺序推荐3名成交候选供应商，并编写评审报告，排名第一的成交候选供应商如得分相同，报价低者为第一成交候选供应商，如得分且报价相同的，技术部分得分高者为第一成交候选供应商，当排名第一的成交候选供应商放弃成交供应商资格或者因被质疑、投诉，经查属实或因不可抗力而不能履行合同的，采购人可以确定排名第二的成交候选供应商为成交供应商，以此类推，或采购人重新组织采购。</w:t>
      </w:r>
    </w:p>
    <w:p w14:paraId="39E2031C">
      <w:pPr>
        <w:pStyle w:val="4"/>
        <w:pageBreakBefore w:val="0"/>
        <w:widowControl w:val="0"/>
        <w:kinsoku/>
        <w:overflowPunct/>
        <w:topLinePunct w:val="0"/>
        <w:bidi w:val="0"/>
        <w:snapToGrid/>
        <w:spacing w:before="0" w:after="0" w:line="336" w:lineRule="auto"/>
        <w:textAlignment w:val="auto"/>
        <w:rPr>
          <w:rFonts w:hint="eastAsia"/>
          <w:color w:val="000000"/>
          <w:sz w:val="28"/>
          <w:highlight w:val="none"/>
          <w:u w:val="none"/>
        </w:rPr>
      </w:pPr>
      <w:bookmarkStart w:id="327" w:name="_Toc8469"/>
      <w:bookmarkStart w:id="328" w:name="_Toc27981"/>
      <w:bookmarkStart w:id="329" w:name="_Toc19957"/>
      <w:r>
        <w:rPr>
          <w:rFonts w:hint="eastAsia"/>
          <w:color w:val="000000"/>
          <w:sz w:val="28"/>
          <w:highlight w:val="none"/>
          <w:u w:val="none"/>
        </w:rPr>
        <w:t>28.确定成交供应商</w:t>
      </w:r>
      <w:bookmarkEnd w:id="327"/>
      <w:bookmarkEnd w:id="328"/>
      <w:bookmarkEnd w:id="329"/>
    </w:p>
    <w:p w14:paraId="2E9E26AF">
      <w:pPr>
        <w:pageBreakBefore w:val="0"/>
        <w:widowControl w:val="0"/>
        <w:kinsoku/>
        <w:wordWrap w:val="0"/>
        <w:overflowPunct/>
        <w:topLinePunct w:val="0"/>
        <w:bidi w:val="0"/>
        <w:snapToGrid/>
        <w:spacing w:line="336" w:lineRule="auto"/>
        <w:ind w:firstLine="480" w:firstLineChars="200"/>
        <w:textAlignment w:val="auto"/>
        <w:rPr>
          <w:rFonts w:hint="eastAsia"/>
          <w:highlight w:val="none"/>
        </w:rPr>
      </w:pPr>
      <w:r>
        <w:rPr>
          <w:rFonts w:hint="eastAsia"/>
          <w:highlight w:val="none"/>
        </w:rPr>
        <w:t>28.1采购代理机构应当在评审结束之日起2个工作日内将评审报告送采购人确认。</w:t>
      </w:r>
    </w:p>
    <w:p w14:paraId="043ED56E">
      <w:pPr>
        <w:pageBreakBefore w:val="0"/>
        <w:widowControl w:val="0"/>
        <w:kinsoku/>
        <w:wordWrap w:val="0"/>
        <w:overflowPunct/>
        <w:topLinePunct w:val="0"/>
        <w:bidi w:val="0"/>
        <w:snapToGrid/>
        <w:spacing w:line="336" w:lineRule="auto"/>
        <w:ind w:firstLine="480" w:firstLineChars="200"/>
        <w:textAlignment w:val="auto"/>
        <w:rPr>
          <w:rFonts w:hint="eastAsia"/>
          <w:highlight w:val="none"/>
        </w:rPr>
      </w:pPr>
      <w:r>
        <w:rPr>
          <w:rFonts w:hint="eastAsia"/>
          <w:highlight w:val="none"/>
        </w:rPr>
        <w:t>28.2采购人应当在收到评审报告之日起5个工作日内，从评审报告提出的成交候选供应商中，按照排序由高到低的原则确定成交供应商。</w:t>
      </w:r>
    </w:p>
    <w:p w14:paraId="798E85DE">
      <w:pPr>
        <w:pStyle w:val="4"/>
        <w:pageBreakBefore w:val="0"/>
        <w:widowControl w:val="0"/>
        <w:kinsoku/>
        <w:overflowPunct/>
        <w:topLinePunct w:val="0"/>
        <w:bidi w:val="0"/>
        <w:snapToGrid/>
        <w:spacing w:before="0" w:after="0" w:line="336" w:lineRule="auto"/>
        <w:textAlignment w:val="auto"/>
        <w:rPr>
          <w:rFonts w:hint="eastAsia"/>
          <w:color w:val="000000"/>
          <w:sz w:val="28"/>
          <w:highlight w:val="none"/>
          <w:u w:val="none"/>
        </w:rPr>
      </w:pPr>
      <w:bookmarkStart w:id="330" w:name="_Toc22937"/>
      <w:bookmarkStart w:id="331" w:name="_Toc16478"/>
      <w:bookmarkStart w:id="332" w:name="_Toc0"/>
      <w:r>
        <w:rPr>
          <w:rFonts w:hint="eastAsia"/>
          <w:color w:val="000000"/>
          <w:sz w:val="28"/>
          <w:highlight w:val="none"/>
          <w:u w:val="none"/>
        </w:rPr>
        <w:t>29.采购任务取消</w:t>
      </w:r>
      <w:bookmarkEnd w:id="323"/>
      <w:bookmarkEnd w:id="324"/>
      <w:bookmarkEnd w:id="325"/>
      <w:bookmarkEnd w:id="326"/>
      <w:bookmarkEnd w:id="330"/>
      <w:bookmarkEnd w:id="331"/>
      <w:bookmarkEnd w:id="332"/>
    </w:p>
    <w:p w14:paraId="6BB29C98">
      <w:pPr>
        <w:pageBreakBefore w:val="0"/>
        <w:widowControl w:val="0"/>
        <w:kinsoku/>
        <w:overflowPunct/>
        <w:topLinePunct w:val="0"/>
        <w:bidi w:val="0"/>
        <w:snapToGrid/>
        <w:spacing w:line="336" w:lineRule="auto"/>
        <w:ind w:firstLine="480" w:firstLineChars="200"/>
        <w:textAlignment w:val="auto"/>
        <w:rPr>
          <w:rFonts w:hint="eastAsia"/>
          <w:highlight w:val="none"/>
        </w:rPr>
      </w:pPr>
      <w:r>
        <w:rPr>
          <w:rFonts w:hint="eastAsia"/>
          <w:highlight w:val="none"/>
        </w:rPr>
        <w:t>因重大变故采购任务取消时，采购人有权拒绝任何供应商成交，对受影响的供应商不承担任何责任。</w:t>
      </w:r>
    </w:p>
    <w:p w14:paraId="3E2E524E">
      <w:pPr>
        <w:pStyle w:val="4"/>
        <w:pageBreakBefore w:val="0"/>
        <w:widowControl w:val="0"/>
        <w:kinsoku/>
        <w:overflowPunct/>
        <w:topLinePunct w:val="0"/>
        <w:bidi w:val="0"/>
        <w:snapToGrid/>
        <w:spacing w:before="0" w:after="0" w:line="336" w:lineRule="auto"/>
        <w:textAlignment w:val="auto"/>
        <w:rPr>
          <w:rFonts w:hint="eastAsia"/>
          <w:color w:val="000000"/>
          <w:sz w:val="28"/>
          <w:highlight w:val="none"/>
          <w:u w:val="none"/>
        </w:rPr>
      </w:pPr>
      <w:bookmarkStart w:id="333" w:name="_Toc520356174"/>
      <w:bookmarkStart w:id="334" w:name="_Toc30986"/>
      <w:bookmarkStart w:id="335" w:name="_Toc19087101"/>
      <w:bookmarkStart w:id="336" w:name="_Toc28576"/>
      <w:bookmarkStart w:id="337" w:name="_Toc32144"/>
      <w:bookmarkStart w:id="338" w:name="_Toc31230"/>
      <w:bookmarkStart w:id="339" w:name="_Toc8771"/>
      <w:bookmarkStart w:id="340" w:name="_Toc518923095"/>
      <w:bookmarkStart w:id="341" w:name="_Toc31086"/>
      <w:r>
        <w:rPr>
          <w:rFonts w:hint="eastAsia"/>
          <w:color w:val="000000"/>
          <w:sz w:val="28"/>
          <w:highlight w:val="none"/>
          <w:u w:val="none"/>
        </w:rPr>
        <w:t>30.发出成交</w:t>
      </w:r>
      <w:bookmarkEnd w:id="333"/>
      <w:r>
        <w:rPr>
          <w:rFonts w:hint="eastAsia"/>
          <w:color w:val="000000"/>
          <w:sz w:val="28"/>
          <w:highlight w:val="none"/>
          <w:u w:val="none"/>
        </w:rPr>
        <w:t>通知书</w:t>
      </w:r>
      <w:bookmarkEnd w:id="334"/>
      <w:bookmarkEnd w:id="335"/>
      <w:bookmarkEnd w:id="336"/>
      <w:bookmarkEnd w:id="337"/>
      <w:bookmarkEnd w:id="338"/>
      <w:bookmarkEnd w:id="339"/>
      <w:bookmarkEnd w:id="340"/>
      <w:bookmarkEnd w:id="341"/>
    </w:p>
    <w:p w14:paraId="12184125">
      <w:pPr>
        <w:pageBreakBefore w:val="0"/>
        <w:widowControl w:val="0"/>
        <w:kinsoku/>
        <w:overflowPunct/>
        <w:topLinePunct w:val="0"/>
        <w:bidi w:val="0"/>
        <w:snapToGrid/>
        <w:spacing w:line="336" w:lineRule="auto"/>
        <w:ind w:firstLine="480"/>
        <w:textAlignment w:val="auto"/>
        <w:rPr>
          <w:rFonts w:hint="eastAsia"/>
          <w:highlight w:val="none"/>
        </w:rPr>
      </w:pPr>
      <w:r>
        <w:rPr>
          <w:rFonts w:hint="eastAsia"/>
          <w:highlight w:val="none"/>
        </w:rPr>
        <w:t>在响应有效期内，成交供应商确定后，采购人或者采购代理机构按照规定应同时公告供应商未成交的原因，发布成交公告，在公告成交结果的同时，向成交供应商发出成交通知书，成交通知书是合同的组成部分。</w:t>
      </w:r>
    </w:p>
    <w:p w14:paraId="4787F4DE">
      <w:pPr>
        <w:pStyle w:val="4"/>
        <w:pageBreakBefore w:val="0"/>
        <w:widowControl w:val="0"/>
        <w:kinsoku/>
        <w:overflowPunct/>
        <w:topLinePunct w:val="0"/>
        <w:bidi w:val="0"/>
        <w:snapToGrid/>
        <w:spacing w:before="0" w:after="0" w:line="336" w:lineRule="auto"/>
        <w:textAlignment w:val="auto"/>
        <w:rPr>
          <w:rFonts w:hint="eastAsia"/>
          <w:color w:val="000000"/>
          <w:sz w:val="28"/>
          <w:highlight w:val="none"/>
          <w:u w:val="none"/>
        </w:rPr>
      </w:pPr>
      <w:bookmarkStart w:id="342" w:name="_Toc4200"/>
      <w:bookmarkStart w:id="343" w:name="_Ref467306978"/>
      <w:bookmarkStart w:id="344" w:name="_Toc24375"/>
      <w:bookmarkStart w:id="345" w:name="_Ref467306377"/>
      <w:bookmarkStart w:id="346" w:name="_Toc31174"/>
      <w:bookmarkStart w:id="347" w:name="_Toc23609"/>
      <w:bookmarkStart w:id="348" w:name="_Toc19087104"/>
      <w:bookmarkStart w:id="349" w:name="_Toc520356175"/>
      <w:bookmarkStart w:id="350" w:name="_Toc743"/>
      <w:bookmarkStart w:id="351" w:name="_Ref467307204"/>
      <w:bookmarkStart w:id="352" w:name="_Toc518923096"/>
      <w:bookmarkStart w:id="353" w:name="_Ref467307062"/>
      <w:bookmarkStart w:id="354" w:name="_Toc17909"/>
      <w:r>
        <w:rPr>
          <w:rFonts w:hint="eastAsia"/>
          <w:color w:val="000000"/>
          <w:sz w:val="28"/>
          <w:highlight w:val="none"/>
          <w:u w:val="none"/>
        </w:rPr>
        <w:t>31.签订合同</w:t>
      </w:r>
      <w:bookmarkEnd w:id="342"/>
      <w:bookmarkEnd w:id="343"/>
      <w:bookmarkEnd w:id="344"/>
      <w:bookmarkEnd w:id="345"/>
      <w:bookmarkEnd w:id="346"/>
      <w:bookmarkEnd w:id="347"/>
      <w:bookmarkEnd w:id="348"/>
      <w:bookmarkEnd w:id="349"/>
      <w:bookmarkEnd w:id="350"/>
      <w:bookmarkEnd w:id="351"/>
      <w:bookmarkEnd w:id="352"/>
      <w:bookmarkEnd w:id="353"/>
      <w:bookmarkEnd w:id="354"/>
    </w:p>
    <w:p w14:paraId="45C9CCFA">
      <w:pPr>
        <w:pageBreakBefore w:val="0"/>
        <w:widowControl w:val="0"/>
        <w:kinsoku/>
        <w:overflowPunct/>
        <w:topLinePunct w:val="0"/>
        <w:bidi w:val="0"/>
        <w:snapToGrid/>
        <w:spacing w:line="336" w:lineRule="auto"/>
        <w:ind w:firstLine="480"/>
        <w:textAlignment w:val="auto"/>
        <w:rPr>
          <w:rFonts w:hint="eastAsia"/>
          <w:highlight w:val="none"/>
        </w:rPr>
      </w:pPr>
      <w:r>
        <w:rPr>
          <w:rFonts w:hint="eastAsia"/>
          <w:highlight w:val="none"/>
        </w:rPr>
        <w:t>31.1成交供应商应当自发出成交通知书之日起10</w:t>
      </w:r>
      <w:r>
        <w:rPr>
          <w:rFonts w:hint="eastAsia"/>
          <w:highlight w:val="none"/>
          <w:lang w:val="en-US" w:eastAsia="zh-CN"/>
        </w:rPr>
        <w:t>天</w:t>
      </w:r>
      <w:r>
        <w:rPr>
          <w:rFonts w:hint="eastAsia"/>
          <w:highlight w:val="none"/>
        </w:rPr>
        <w:t>内，与采购人签订合同。</w:t>
      </w:r>
    </w:p>
    <w:p w14:paraId="69C974F9">
      <w:pPr>
        <w:pageBreakBefore w:val="0"/>
        <w:widowControl w:val="0"/>
        <w:kinsoku/>
        <w:overflowPunct/>
        <w:topLinePunct w:val="0"/>
        <w:bidi w:val="0"/>
        <w:snapToGrid/>
        <w:spacing w:line="336" w:lineRule="auto"/>
        <w:ind w:firstLine="480"/>
        <w:textAlignment w:val="auto"/>
        <w:rPr>
          <w:rFonts w:hint="eastAsia"/>
          <w:highlight w:val="none"/>
        </w:rPr>
      </w:pPr>
      <w:r>
        <w:rPr>
          <w:rFonts w:hint="eastAsia"/>
          <w:highlight w:val="none"/>
        </w:rPr>
        <w:t>31.2</w:t>
      </w:r>
      <w:bookmarkStart w:id="355" w:name="_Toc520356176"/>
      <w:bookmarkStart w:id="356" w:name="_Ref467307090"/>
      <w:bookmarkStart w:id="357" w:name="_Ref467306425"/>
      <w:r>
        <w:rPr>
          <w:rFonts w:hint="eastAsia"/>
          <w:highlight w:val="none"/>
        </w:rPr>
        <w:t>竞争性磋商文件、成交供应商的响应文件及其澄清文件等，均为签订合同的依据。</w:t>
      </w:r>
    </w:p>
    <w:p w14:paraId="709972B5">
      <w:pPr>
        <w:pageBreakBefore w:val="0"/>
        <w:widowControl w:val="0"/>
        <w:kinsoku/>
        <w:overflowPunct/>
        <w:topLinePunct w:val="0"/>
        <w:bidi w:val="0"/>
        <w:snapToGrid/>
        <w:spacing w:line="336" w:lineRule="auto"/>
        <w:ind w:firstLine="480"/>
        <w:textAlignment w:val="auto"/>
        <w:rPr>
          <w:rFonts w:hint="eastAsia"/>
          <w:highlight w:val="none"/>
        </w:rPr>
      </w:pPr>
      <w:r>
        <w:rPr>
          <w:rFonts w:hint="eastAsia"/>
          <w:highlight w:val="none"/>
        </w:rPr>
        <w:t>31.3如成交供应商拒绝与采购人签订合同的，采购人可以按照评审报告推荐的成交候选供应商名单排序，确定下一成交候选供应商为成交供应商，也可以重新开展政府采购活动。</w:t>
      </w:r>
    </w:p>
    <w:p w14:paraId="49D28C6E">
      <w:pPr>
        <w:pageBreakBefore w:val="0"/>
        <w:widowControl w:val="0"/>
        <w:kinsoku/>
        <w:overflowPunct/>
        <w:topLinePunct w:val="0"/>
        <w:bidi w:val="0"/>
        <w:snapToGrid/>
        <w:spacing w:line="336" w:lineRule="auto"/>
        <w:ind w:firstLine="480"/>
        <w:textAlignment w:val="auto"/>
        <w:rPr>
          <w:rFonts w:hint="eastAsia"/>
          <w:highlight w:val="none"/>
        </w:rPr>
      </w:pPr>
      <w:r>
        <w:rPr>
          <w:rFonts w:hint="eastAsia"/>
          <w:highlight w:val="none"/>
        </w:rPr>
        <w:t>31.4当出现法规规定的成交无效或成交结果无效情形时，采购人依规可与排名下一位的成交候选供应商另行签订合同，或依法重新开展采购活动。</w:t>
      </w:r>
    </w:p>
    <w:p w14:paraId="2D622969">
      <w:pPr>
        <w:pStyle w:val="4"/>
        <w:pageBreakBefore w:val="0"/>
        <w:widowControl w:val="0"/>
        <w:kinsoku/>
        <w:overflowPunct/>
        <w:topLinePunct w:val="0"/>
        <w:bidi w:val="0"/>
        <w:snapToGrid/>
        <w:spacing w:before="0" w:after="0" w:line="336" w:lineRule="auto"/>
        <w:textAlignment w:val="auto"/>
        <w:rPr>
          <w:rFonts w:hint="eastAsia"/>
          <w:color w:val="000000"/>
          <w:sz w:val="28"/>
          <w:highlight w:val="none"/>
          <w:u w:val="none"/>
        </w:rPr>
      </w:pPr>
      <w:bookmarkStart w:id="358" w:name="_Toc24703"/>
      <w:bookmarkStart w:id="359" w:name="_Toc518923097"/>
      <w:bookmarkStart w:id="360" w:name="_Toc12418"/>
      <w:bookmarkStart w:id="361" w:name="_Toc19087105"/>
      <w:bookmarkStart w:id="362" w:name="_Toc14888"/>
      <w:bookmarkStart w:id="363" w:name="_Toc7849"/>
      <w:bookmarkStart w:id="364" w:name="_Toc12196"/>
      <w:bookmarkStart w:id="365" w:name="_Toc12163"/>
      <w:r>
        <w:rPr>
          <w:rFonts w:hint="eastAsia"/>
          <w:color w:val="000000"/>
          <w:sz w:val="28"/>
          <w:highlight w:val="none"/>
          <w:u w:val="none"/>
        </w:rPr>
        <w:t>32.履约保证金</w:t>
      </w:r>
      <w:bookmarkEnd w:id="355"/>
      <w:bookmarkEnd w:id="356"/>
      <w:bookmarkEnd w:id="357"/>
      <w:bookmarkEnd w:id="358"/>
      <w:bookmarkEnd w:id="359"/>
      <w:bookmarkEnd w:id="360"/>
      <w:bookmarkEnd w:id="361"/>
      <w:bookmarkEnd w:id="362"/>
      <w:bookmarkEnd w:id="363"/>
      <w:bookmarkEnd w:id="364"/>
      <w:bookmarkEnd w:id="365"/>
    </w:p>
    <w:p w14:paraId="29DB65A1">
      <w:pPr>
        <w:pageBreakBefore w:val="0"/>
        <w:widowControl w:val="0"/>
        <w:kinsoku/>
        <w:overflowPunct/>
        <w:topLinePunct w:val="0"/>
        <w:bidi w:val="0"/>
        <w:snapToGrid/>
        <w:spacing w:line="336" w:lineRule="auto"/>
        <w:ind w:firstLine="480" w:firstLineChars="200"/>
        <w:textAlignment w:val="auto"/>
        <w:rPr>
          <w:rFonts w:hint="eastAsia"/>
          <w:highlight w:val="none"/>
        </w:rPr>
      </w:pPr>
      <w:r>
        <w:rPr>
          <w:rFonts w:hint="eastAsia"/>
          <w:highlight w:val="none"/>
        </w:rPr>
        <w:t>签合同时双方约定。</w:t>
      </w:r>
    </w:p>
    <w:p w14:paraId="60D6AC13">
      <w:pPr>
        <w:pStyle w:val="4"/>
        <w:pageBreakBefore w:val="0"/>
        <w:widowControl w:val="0"/>
        <w:kinsoku/>
        <w:overflowPunct/>
        <w:topLinePunct w:val="0"/>
        <w:bidi w:val="0"/>
        <w:snapToGrid/>
        <w:spacing w:before="0" w:after="0" w:line="336" w:lineRule="auto"/>
        <w:textAlignment w:val="auto"/>
        <w:rPr>
          <w:rFonts w:hint="eastAsia"/>
          <w:color w:val="000000"/>
          <w:sz w:val="28"/>
          <w:highlight w:val="none"/>
          <w:u w:val="none"/>
        </w:rPr>
      </w:pPr>
      <w:bookmarkStart w:id="366" w:name="_Toc19087107"/>
      <w:bookmarkStart w:id="367" w:name="_Toc4431"/>
      <w:bookmarkStart w:id="368" w:name="_Toc17392"/>
      <w:bookmarkStart w:id="369" w:name="_Toc4355"/>
      <w:bookmarkStart w:id="370" w:name="_Toc17716"/>
      <w:bookmarkStart w:id="371" w:name="_Toc14725"/>
      <w:bookmarkStart w:id="372" w:name="_Toc7851"/>
      <w:bookmarkStart w:id="373" w:name="_Toc518923100"/>
      <w:r>
        <w:rPr>
          <w:rFonts w:hint="eastAsia"/>
          <w:color w:val="000000"/>
          <w:sz w:val="28"/>
          <w:highlight w:val="none"/>
          <w:u w:val="none"/>
        </w:rPr>
        <w:t>33.廉洁自律规定</w:t>
      </w:r>
      <w:bookmarkEnd w:id="366"/>
      <w:bookmarkEnd w:id="367"/>
      <w:bookmarkEnd w:id="368"/>
      <w:bookmarkEnd w:id="369"/>
      <w:bookmarkEnd w:id="370"/>
      <w:bookmarkEnd w:id="371"/>
      <w:bookmarkEnd w:id="372"/>
      <w:bookmarkEnd w:id="373"/>
    </w:p>
    <w:p w14:paraId="269445E5">
      <w:pPr>
        <w:pageBreakBefore w:val="0"/>
        <w:widowControl w:val="0"/>
        <w:kinsoku/>
        <w:overflowPunct/>
        <w:topLinePunct w:val="0"/>
        <w:bidi w:val="0"/>
        <w:snapToGrid/>
        <w:spacing w:line="336" w:lineRule="auto"/>
        <w:ind w:firstLine="480"/>
        <w:textAlignment w:val="auto"/>
        <w:rPr>
          <w:rFonts w:hint="eastAsia"/>
          <w:highlight w:val="none"/>
        </w:rPr>
      </w:pPr>
      <w:r>
        <w:rPr>
          <w:rFonts w:hint="eastAsia"/>
          <w:highlight w:val="none"/>
        </w:rPr>
        <w:t>33.1采购代理机构工作人员不得与采购人、供应商恶意串通操纵政府采购活动。</w:t>
      </w:r>
    </w:p>
    <w:p w14:paraId="214A38BC">
      <w:pPr>
        <w:pageBreakBefore w:val="0"/>
        <w:widowControl w:val="0"/>
        <w:kinsoku/>
        <w:overflowPunct/>
        <w:topLinePunct w:val="0"/>
        <w:bidi w:val="0"/>
        <w:snapToGrid/>
        <w:spacing w:line="336" w:lineRule="auto"/>
        <w:ind w:firstLine="480"/>
        <w:textAlignment w:val="auto"/>
        <w:rPr>
          <w:rFonts w:hint="eastAsia"/>
          <w:highlight w:val="none"/>
        </w:rPr>
      </w:pPr>
      <w:r>
        <w:rPr>
          <w:rFonts w:hint="eastAsia"/>
          <w:highlight w:val="none"/>
        </w:rPr>
        <w:t>33.2采购代理机构工作人员不得接受采购人或者供应商组织的宴请、旅游、娱乐，不得收受礼品、现金、有价证券等，不得向采购人或者供应商报销应当由个人承担的费用。</w:t>
      </w:r>
    </w:p>
    <w:p w14:paraId="376F5645">
      <w:pPr>
        <w:pStyle w:val="4"/>
        <w:pageBreakBefore w:val="0"/>
        <w:widowControl w:val="0"/>
        <w:kinsoku/>
        <w:overflowPunct/>
        <w:topLinePunct w:val="0"/>
        <w:bidi w:val="0"/>
        <w:snapToGrid/>
        <w:spacing w:before="0" w:after="0" w:line="336" w:lineRule="auto"/>
        <w:textAlignment w:val="auto"/>
        <w:rPr>
          <w:rFonts w:hint="eastAsia"/>
          <w:color w:val="000000"/>
          <w:sz w:val="28"/>
          <w:highlight w:val="none"/>
          <w:u w:val="none"/>
        </w:rPr>
      </w:pPr>
      <w:bookmarkStart w:id="374" w:name="_Toc518923101"/>
      <w:bookmarkStart w:id="375" w:name="_Toc19087108"/>
      <w:bookmarkStart w:id="376" w:name="_Toc15389"/>
      <w:bookmarkStart w:id="377" w:name="_Toc8017"/>
      <w:bookmarkStart w:id="378" w:name="_Toc27986"/>
      <w:bookmarkStart w:id="379" w:name="_Toc18641"/>
      <w:bookmarkStart w:id="380" w:name="_Toc14213"/>
      <w:bookmarkStart w:id="381" w:name="_Toc29855"/>
      <w:r>
        <w:rPr>
          <w:rFonts w:hint="eastAsia"/>
          <w:color w:val="000000"/>
          <w:sz w:val="28"/>
          <w:highlight w:val="none"/>
          <w:u w:val="none"/>
        </w:rPr>
        <w:t>34.人员回避</w:t>
      </w:r>
      <w:bookmarkEnd w:id="374"/>
      <w:bookmarkEnd w:id="375"/>
      <w:bookmarkEnd w:id="376"/>
      <w:bookmarkEnd w:id="377"/>
      <w:bookmarkEnd w:id="378"/>
      <w:bookmarkEnd w:id="379"/>
      <w:bookmarkEnd w:id="380"/>
      <w:bookmarkEnd w:id="381"/>
    </w:p>
    <w:p w14:paraId="454D63F7">
      <w:pPr>
        <w:pageBreakBefore w:val="0"/>
        <w:widowControl w:val="0"/>
        <w:kinsoku/>
        <w:overflowPunct/>
        <w:topLinePunct w:val="0"/>
        <w:bidi w:val="0"/>
        <w:snapToGrid/>
        <w:spacing w:line="336" w:lineRule="auto"/>
        <w:ind w:firstLine="480"/>
        <w:textAlignment w:val="auto"/>
        <w:rPr>
          <w:rFonts w:hint="eastAsia"/>
          <w:highlight w:val="none"/>
        </w:rPr>
      </w:pPr>
      <w:r>
        <w:rPr>
          <w:rFonts w:hint="eastAsia"/>
          <w:highlight w:val="none"/>
        </w:rPr>
        <w:t>潜在供应商认为竞争性磋商文件使自己的权益受到损害的，供应商认为采购人员、采购代理机构工作人员及其相关人员有法律法规所列与其他供应商有利害关系的，可以向采购人或采购代理机构书面提出回避申请，并说明理由。</w:t>
      </w:r>
    </w:p>
    <w:p w14:paraId="4500DED6">
      <w:pPr>
        <w:pStyle w:val="4"/>
        <w:pageBreakBefore w:val="0"/>
        <w:widowControl w:val="0"/>
        <w:kinsoku/>
        <w:overflowPunct/>
        <w:topLinePunct w:val="0"/>
        <w:bidi w:val="0"/>
        <w:snapToGrid/>
        <w:spacing w:before="0" w:after="0" w:line="336" w:lineRule="auto"/>
        <w:textAlignment w:val="auto"/>
        <w:rPr>
          <w:rFonts w:hint="eastAsia"/>
          <w:color w:val="000000"/>
          <w:sz w:val="28"/>
          <w:highlight w:val="none"/>
          <w:u w:val="none"/>
        </w:rPr>
      </w:pPr>
      <w:bookmarkStart w:id="382" w:name="_Toc518923102"/>
      <w:bookmarkStart w:id="383" w:name="_Toc13232"/>
      <w:bookmarkStart w:id="384" w:name="_Toc19087109"/>
      <w:bookmarkStart w:id="385" w:name="_Toc22737"/>
      <w:bookmarkStart w:id="386" w:name="_Toc10270"/>
      <w:bookmarkStart w:id="387" w:name="_Toc13231"/>
      <w:bookmarkStart w:id="388" w:name="_Toc13565"/>
      <w:bookmarkStart w:id="389" w:name="_Toc14232"/>
      <w:r>
        <w:rPr>
          <w:rFonts w:hint="eastAsia"/>
          <w:color w:val="000000"/>
          <w:sz w:val="28"/>
          <w:highlight w:val="none"/>
          <w:u w:val="none"/>
        </w:rPr>
        <w:t>35.质疑与接收</w:t>
      </w:r>
      <w:bookmarkEnd w:id="382"/>
      <w:bookmarkEnd w:id="383"/>
      <w:bookmarkEnd w:id="384"/>
      <w:bookmarkEnd w:id="385"/>
      <w:bookmarkEnd w:id="386"/>
      <w:bookmarkEnd w:id="387"/>
      <w:bookmarkEnd w:id="388"/>
      <w:bookmarkEnd w:id="389"/>
    </w:p>
    <w:p w14:paraId="4D7184FE">
      <w:pPr>
        <w:pageBreakBefore w:val="0"/>
        <w:widowControl w:val="0"/>
        <w:kinsoku/>
        <w:overflowPunct/>
        <w:topLinePunct w:val="0"/>
        <w:bidi w:val="0"/>
        <w:snapToGrid/>
        <w:spacing w:line="336" w:lineRule="auto"/>
        <w:ind w:firstLine="480"/>
        <w:textAlignment w:val="auto"/>
        <w:rPr>
          <w:rFonts w:hint="eastAsia"/>
          <w:highlight w:val="none"/>
        </w:rPr>
      </w:pPr>
      <w:r>
        <w:rPr>
          <w:rFonts w:hint="eastAsia"/>
          <w:highlight w:val="none"/>
        </w:rPr>
        <w:t>35.1供应商认为竞争性磋商文件、磋商过程和成交结果使自己的权益受到损害的，可以根据《中华人民共和国政府采购法》、《中华人民共和国政府采购法实施条例》和《政府采购质疑和投诉办法》的有关规定，依法向采购人或其委托的采购代理机构提出质疑。</w:t>
      </w:r>
    </w:p>
    <w:p w14:paraId="1707E888">
      <w:pPr>
        <w:pageBreakBefore w:val="0"/>
        <w:widowControl w:val="0"/>
        <w:kinsoku/>
        <w:overflowPunct/>
        <w:topLinePunct w:val="0"/>
        <w:bidi w:val="0"/>
        <w:snapToGrid/>
        <w:spacing w:line="336" w:lineRule="auto"/>
        <w:ind w:firstLine="480"/>
        <w:textAlignment w:val="auto"/>
        <w:rPr>
          <w:rFonts w:hint="eastAsia"/>
          <w:highlight w:val="none"/>
        </w:rPr>
      </w:pPr>
      <w:r>
        <w:rPr>
          <w:rFonts w:hint="eastAsia"/>
          <w:highlight w:val="none"/>
        </w:rPr>
        <w:t>35.2质疑供应商应按照财政部制定的《政府采购质疑函范本》格式（可从财政部官方网站下载）和《政府采购质疑和投诉办法》的要求，在法定质疑期内以书面形式提出质疑，针对同一采购程序环节的质疑应一次性提出。</w:t>
      </w:r>
    </w:p>
    <w:p w14:paraId="25705E3C">
      <w:pPr>
        <w:pageBreakBefore w:val="0"/>
        <w:widowControl w:val="0"/>
        <w:kinsoku/>
        <w:overflowPunct/>
        <w:topLinePunct w:val="0"/>
        <w:bidi w:val="0"/>
        <w:snapToGrid/>
        <w:spacing w:line="336" w:lineRule="auto"/>
        <w:ind w:firstLine="480"/>
        <w:textAlignment w:val="auto"/>
        <w:rPr>
          <w:rFonts w:hint="eastAsia"/>
          <w:highlight w:val="none"/>
        </w:rPr>
      </w:pPr>
      <w:r>
        <w:rPr>
          <w:rFonts w:hint="eastAsia"/>
          <w:highlight w:val="none"/>
        </w:rPr>
        <w:t>超出法定质疑期的、重复提出的、分次提出的或内容、形式不符合《政府采购质疑和投诉办法》的，质疑供应商将依法承担不利后果。</w:t>
      </w:r>
    </w:p>
    <w:p w14:paraId="62DBD972">
      <w:pPr>
        <w:pageBreakBefore w:val="0"/>
        <w:widowControl w:val="0"/>
        <w:kinsoku/>
        <w:overflowPunct/>
        <w:topLinePunct w:val="0"/>
        <w:bidi w:val="0"/>
        <w:snapToGrid/>
        <w:spacing w:line="336" w:lineRule="auto"/>
        <w:ind w:firstLine="480"/>
        <w:textAlignment w:val="auto"/>
        <w:rPr>
          <w:rFonts w:hint="eastAsia"/>
          <w:highlight w:val="none"/>
        </w:rPr>
      </w:pPr>
      <w:r>
        <w:rPr>
          <w:rFonts w:hint="eastAsia"/>
          <w:highlight w:val="none"/>
        </w:rPr>
        <w:t>35.3采购人或采购代理机构质疑函接收部门、联系电话和通讯地址，见供应商须知资料表。</w:t>
      </w:r>
    </w:p>
    <w:p w14:paraId="2731C65A">
      <w:pPr>
        <w:ind w:left="240" w:leftChars="100" w:firstLine="480" w:firstLineChars="200"/>
        <w:rPr>
          <w:rFonts w:hint="eastAsia"/>
          <w:highlight w:val="none"/>
          <w:lang w:val="zh-CN"/>
        </w:rPr>
      </w:pPr>
      <w:r>
        <w:rPr>
          <w:rFonts w:hint="eastAsia"/>
          <w:highlight w:val="none"/>
          <w:lang w:val="zh-CN"/>
        </w:rPr>
        <w:t xml:space="preserve"> </w:t>
      </w:r>
    </w:p>
    <w:p w14:paraId="3B933FAA">
      <w:pPr>
        <w:pStyle w:val="8"/>
        <w:numPr>
          <w:ilvl w:val="0"/>
          <w:numId w:val="1"/>
        </w:numPr>
        <w:rPr>
          <w:rFonts w:hint="eastAsia"/>
          <w:highlight w:val="none"/>
        </w:rPr>
        <w:sectPr>
          <w:footerReference r:id="rId8" w:type="default"/>
          <w:pgSz w:w="11906" w:h="16838"/>
          <w:pgMar w:top="1417" w:right="1417" w:bottom="1417" w:left="1417" w:header="851" w:footer="992" w:gutter="0"/>
          <w:pgNumType w:start="1"/>
          <w:cols w:space="0" w:num="1"/>
          <w:docGrid w:linePitch="312" w:charSpace="0"/>
        </w:sectPr>
      </w:pPr>
    </w:p>
    <w:p w14:paraId="34F32414">
      <w:pPr>
        <w:spacing w:line="240" w:lineRule="atLeast"/>
        <w:jc w:val="both"/>
        <w:rPr>
          <w:rFonts w:hint="eastAsia"/>
          <w:b/>
          <w:sz w:val="52"/>
          <w:szCs w:val="52"/>
          <w:highlight w:val="none"/>
        </w:rPr>
      </w:pPr>
      <w:bookmarkStart w:id="390" w:name="_Toc26839"/>
      <w:bookmarkStart w:id="391" w:name="_Toc26647"/>
      <w:bookmarkStart w:id="392" w:name="_Toc3641"/>
      <w:bookmarkStart w:id="393" w:name="_Toc27124"/>
    </w:p>
    <w:p w14:paraId="52B18438">
      <w:pPr>
        <w:spacing w:line="360" w:lineRule="auto"/>
        <w:jc w:val="center"/>
        <w:rPr>
          <w:rFonts w:hint="eastAsia"/>
          <w:b/>
          <w:bCs/>
          <w:sz w:val="56"/>
          <w:szCs w:val="56"/>
          <w:highlight w:val="none"/>
        </w:rPr>
      </w:pPr>
      <w:r>
        <w:rPr>
          <w:rFonts w:hint="eastAsia"/>
          <w:b/>
          <w:bCs/>
          <w:sz w:val="48"/>
          <w:szCs w:val="48"/>
          <w:highlight w:val="none"/>
          <w:lang w:eastAsia="zh-CN"/>
        </w:rPr>
        <w:t>菏泽市住房和城乡建设局2025年度第三方质量安全辅助巡查服务项目</w:t>
      </w:r>
    </w:p>
    <w:p w14:paraId="3F213847">
      <w:pPr>
        <w:spacing w:line="240" w:lineRule="auto"/>
        <w:jc w:val="center"/>
        <w:rPr>
          <w:rFonts w:hint="eastAsia"/>
          <w:b/>
          <w:bCs/>
          <w:color w:val="FF0000"/>
          <w:sz w:val="48"/>
          <w:szCs w:val="48"/>
          <w:highlight w:val="none"/>
        </w:rPr>
      </w:pPr>
      <w:r>
        <w:rPr>
          <w:rFonts w:hint="eastAsia"/>
          <w:b/>
          <w:sz w:val="36"/>
          <w:szCs w:val="36"/>
          <w:highlight w:val="none"/>
        </w:rPr>
        <w:t>（服务类）</w:t>
      </w:r>
    </w:p>
    <w:p w14:paraId="3AC7DE11">
      <w:pPr>
        <w:spacing w:line="240" w:lineRule="auto"/>
        <w:jc w:val="center"/>
        <w:rPr>
          <w:rFonts w:hint="eastAsia"/>
          <w:b/>
          <w:bCs/>
          <w:color w:val="FF0000"/>
          <w:sz w:val="48"/>
          <w:szCs w:val="48"/>
          <w:highlight w:val="none"/>
        </w:rPr>
      </w:pPr>
    </w:p>
    <w:p w14:paraId="474356FB">
      <w:pPr>
        <w:spacing w:line="240" w:lineRule="auto"/>
        <w:jc w:val="center"/>
        <w:rPr>
          <w:rFonts w:hint="eastAsia"/>
          <w:b/>
          <w:bCs/>
          <w:color w:val="FF0000"/>
          <w:sz w:val="48"/>
          <w:szCs w:val="48"/>
          <w:highlight w:val="none"/>
        </w:rPr>
      </w:pPr>
    </w:p>
    <w:p w14:paraId="77C1ACF3">
      <w:pPr>
        <w:spacing w:line="240" w:lineRule="auto"/>
        <w:jc w:val="center"/>
        <w:rPr>
          <w:rFonts w:hint="eastAsia"/>
          <w:b/>
          <w:sz w:val="32"/>
          <w:szCs w:val="32"/>
          <w:highlight w:val="none"/>
        </w:rPr>
      </w:pPr>
      <w:r>
        <w:rPr>
          <w:rFonts w:hint="eastAsia"/>
          <w:b/>
          <w:bCs/>
          <w:color w:val="FF0000"/>
          <w:sz w:val="84"/>
          <w:szCs w:val="84"/>
          <w:highlight w:val="none"/>
        </w:rPr>
        <w:t>竞争性磋商文件</w:t>
      </w:r>
    </w:p>
    <w:p w14:paraId="77A9B71B">
      <w:pPr>
        <w:spacing w:line="600" w:lineRule="exact"/>
        <w:jc w:val="center"/>
        <w:rPr>
          <w:rFonts w:hint="eastAsia"/>
          <w:b/>
          <w:sz w:val="36"/>
          <w:szCs w:val="36"/>
          <w:highlight w:val="none"/>
        </w:rPr>
      </w:pPr>
    </w:p>
    <w:p w14:paraId="78F446D9">
      <w:pPr>
        <w:spacing w:line="600" w:lineRule="exact"/>
        <w:jc w:val="center"/>
        <w:rPr>
          <w:rFonts w:hint="eastAsia"/>
          <w:b/>
          <w:sz w:val="36"/>
          <w:szCs w:val="36"/>
          <w:highlight w:val="none"/>
        </w:rPr>
      </w:pPr>
      <w:r>
        <w:rPr>
          <w:rFonts w:hint="eastAsia"/>
          <w:b/>
          <w:sz w:val="36"/>
          <w:szCs w:val="36"/>
          <w:highlight w:val="none"/>
        </w:rPr>
        <w:t>第</w:t>
      </w:r>
      <w:r>
        <w:rPr>
          <w:rFonts w:hint="eastAsia"/>
          <w:b/>
          <w:sz w:val="36"/>
          <w:szCs w:val="36"/>
          <w:highlight w:val="none"/>
          <w:lang w:val="en-US" w:eastAsia="zh-CN"/>
        </w:rPr>
        <w:t>二</w:t>
      </w:r>
      <w:r>
        <w:rPr>
          <w:rFonts w:hint="eastAsia"/>
          <w:b/>
          <w:sz w:val="36"/>
          <w:szCs w:val="36"/>
          <w:highlight w:val="none"/>
        </w:rPr>
        <w:t>册</w:t>
      </w:r>
    </w:p>
    <w:p w14:paraId="3AF5DDEC">
      <w:pPr>
        <w:spacing w:line="600" w:lineRule="exact"/>
        <w:jc w:val="center"/>
        <w:rPr>
          <w:rFonts w:hint="default" w:eastAsia="宋体"/>
          <w:b/>
          <w:sz w:val="30"/>
          <w:szCs w:val="30"/>
          <w:highlight w:val="none"/>
          <w:lang w:val="en-US" w:eastAsia="zh-CN"/>
        </w:rPr>
      </w:pPr>
      <w:r>
        <w:rPr>
          <w:rFonts w:hint="eastAsia"/>
          <w:b/>
          <w:sz w:val="30"/>
          <w:szCs w:val="30"/>
          <w:highlight w:val="none"/>
        </w:rPr>
        <w:t>项目编号：SDGP371700000202502000427</w:t>
      </w:r>
    </w:p>
    <w:p w14:paraId="5A2AE35E">
      <w:pPr>
        <w:jc w:val="center"/>
        <w:rPr>
          <w:rFonts w:hint="eastAsia"/>
          <w:highlight w:val="none"/>
        </w:rPr>
      </w:pPr>
      <w:r>
        <w:rPr>
          <w:rFonts w:hint="eastAsia"/>
          <w:highlight w:val="none"/>
        </w:rPr>
        <w:drawing>
          <wp:inline distT="0" distB="0" distL="114300" distR="114300">
            <wp:extent cx="1674495" cy="1145540"/>
            <wp:effectExtent l="0" t="0" r="1905" b="16510"/>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18"/>
                    <a:stretch>
                      <a:fillRect/>
                    </a:stretch>
                  </pic:blipFill>
                  <pic:spPr>
                    <a:xfrm>
                      <a:off x="0" y="0"/>
                      <a:ext cx="1674495" cy="1145540"/>
                    </a:xfrm>
                    <a:prstGeom prst="rect">
                      <a:avLst/>
                    </a:prstGeom>
                    <a:noFill/>
                    <a:ln>
                      <a:noFill/>
                    </a:ln>
                  </pic:spPr>
                </pic:pic>
              </a:graphicData>
            </a:graphic>
          </wp:inline>
        </w:drawing>
      </w:r>
    </w:p>
    <w:p w14:paraId="302A00B3">
      <w:pPr>
        <w:jc w:val="center"/>
        <w:rPr>
          <w:rFonts w:hint="eastAsia"/>
          <w:b/>
          <w:sz w:val="28"/>
          <w:szCs w:val="28"/>
          <w:highlight w:val="none"/>
        </w:rPr>
      </w:pPr>
    </w:p>
    <w:p w14:paraId="1DFE8FAD">
      <w:pPr>
        <w:spacing w:line="600" w:lineRule="exact"/>
        <w:rPr>
          <w:rFonts w:hint="eastAsia"/>
          <w:b/>
          <w:bCs/>
          <w:sz w:val="30"/>
          <w:szCs w:val="30"/>
          <w:highlight w:val="none"/>
        </w:rPr>
      </w:pPr>
    </w:p>
    <w:p w14:paraId="71363168">
      <w:pPr>
        <w:spacing w:line="600" w:lineRule="exact"/>
        <w:rPr>
          <w:rFonts w:hint="eastAsia"/>
          <w:b/>
          <w:bCs/>
          <w:sz w:val="30"/>
          <w:szCs w:val="30"/>
          <w:highlight w:val="none"/>
        </w:rPr>
      </w:pPr>
    </w:p>
    <w:p w14:paraId="599E5BB1">
      <w:pPr>
        <w:spacing w:before="120" w:beforeLines="50" w:after="120" w:afterLines="50" w:line="480" w:lineRule="auto"/>
        <w:ind w:firstLine="1506" w:firstLineChars="500"/>
        <w:rPr>
          <w:rFonts w:hint="eastAsia" w:eastAsia="宋体"/>
          <w:b/>
          <w:bCs/>
          <w:sz w:val="30"/>
          <w:szCs w:val="30"/>
          <w:highlight w:val="none"/>
          <w:u w:val="single"/>
          <w:lang w:eastAsia="zh-CN"/>
        </w:rPr>
      </w:pPr>
      <w:r>
        <w:rPr>
          <w:rFonts w:hint="eastAsia"/>
          <w:b/>
          <w:bCs/>
          <w:sz w:val="30"/>
          <w:szCs w:val="30"/>
          <w:highlight w:val="none"/>
        </w:rPr>
        <w:t>采   购   人：</w:t>
      </w:r>
      <w:r>
        <w:rPr>
          <w:rFonts w:hint="eastAsia"/>
          <w:b/>
          <w:bCs/>
          <w:sz w:val="30"/>
          <w:szCs w:val="30"/>
          <w:highlight w:val="none"/>
          <w:u w:val="single"/>
          <w:lang w:eastAsia="zh-CN"/>
        </w:rPr>
        <w:t>菏泽市住房和城乡建设局</w:t>
      </w:r>
    </w:p>
    <w:p w14:paraId="342303EF">
      <w:pPr>
        <w:spacing w:before="120" w:beforeLines="50" w:after="120" w:afterLines="50" w:line="480" w:lineRule="auto"/>
        <w:ind w:firstLine="1506" w:firstLineChars="500"/>
        <w:rPr>
          <w:rFonts w:hint="eastAsia"/>
          <w:b/>
          <w:bCs/>
          <w:sz w:val="30"/>
          <w:szCs w:val="30"/>
          <w:highlight w:val="none"/>
        </w:rPr>
      </w:pPr>
      <w:r>
        <w:rPr>
          <w:rFonts w:hint="eastAsia"/>
          <w:b/>
          <w:bCs/>
          <w:sz w:val="30"/>
          <w:szCs w:val="30"/>
          <w:highlight w:val="none"/>
        </w:rPr>
        <w:t>采购代理机构：</w:t>
      </w:r>
      <w:r>
        <w:rPr>
          <w:rFonts w:hint="eastAsia"/>
          <w:b/>
          <w:bCs/>
          <w:sz w:val="30"/>
          <w:szCs w:val="30"/>
          <w:highlight w:val="none"/>
          <w:u w:val="single"/>
        </w:rPr>
        <w:t>山东东盛建设项目管理有限公司</w:t>
      </w:r>
    </w:p>
    <w:p w14:paraId="2BFF44E1">
      <w:pPr>
        <w:spacing w:line="480" w:lineRule="auto"/>
        <w:ind w:firstLine="1506" w:firstLineChars="500"/>
        <w:rPr>
          <w:rFonts w:hint="eastAsia"/>
          <w:b/>
          <w:bCs/>
          <w:sz w:val="30"/>
          <w:szCs w:val="30"/>
          <w:highlight w:val="none"/>
        </w:rPr>
      </w:pPr>
      <w:r>
        <w:rPr>
          <w:rFonts w:hint="eastAsia"/>
          <w:b/>
          <w:bCs/>
          <w:sz w:val="30"/>
          <w:szCs w:val="30"/>
          <w:highlight w:val="none"/>
        </w:rPr>
        <w:t>发  出 日 期：</w:t>
      </w:r>
      <w:r>
        <w:rPr>
          <w:rFonts w:hint="eastAsia"/>
          <w:b/>
          <w:bCs/>
          <w:sz w:val="30"/>
          <w:szCs w:val="30"/>
          <w:highlight w:val="none"/>
          <w:u w:val="single"/>
        </w:rPr>
        <w:t>二〇二五年</w:t>
      </w:r>
      <w:r>
        <w:rPr>
          <w:rFonts w:hint="eastAsia"/>
          <w:b/>
          <w:bCs/>
          <w:sz w:val="30"/>
          <w:szCs w:val="30"/>
          <w:highlight w:val="none"/>
          <w:u w:val="single"/>
          <w:lang w:val="en-US" w:eastAsia="zh-CN"/>
        </w:rPr>
        <w:t>十</w:t>
      </w:r>
      <w:r>
        <w:rPr>
          <w:rFonts w:hint="eastAsia"/>
          <w:b/>
          <w:bCs/>
          <w:sz w:val="30"/>
          <w:szCs w:val="30"/>
          <w:highlight w:val="none"/>
          <w:u w:val="single"/>
        </w:rPr>
        <w:t>月</w:t>
      </w:r>
      <w:r>
        <w:rPr>
          <w:rFonts w:hint="eastAsia"/>
          <w:b/>
          <w:bCs/>
          <w:sz w:val="30"/>
          <w:szCs w:val="30"/>
          <w:highlight w:val="none"/>
          <w:u w:val="single"/>
          <w:lang w:val="en-US" w:eastAsia="zh-CN"/>
        </w:rPr>
        <w:t>二十一</w:t>
      </w:r>
      <w:r>
        <w:rPr>
          <w:rFonts w:hint="eastAsia"/>
          <w:b/>
          <w:bCs/>
          <w:sz w:val="30"/>
          <w:szCs w:val="30"/>
          <w:highlight w:val="none"/>
          <w:u w:val="single"/>
        </w:rPr>
        <w:t>日</w:t>
      </w:r>
    </w:p>
    <w:p w14:paraId="108D0F38">
      <w:pPr>
        <w:rPr>
          <w:rFonts w:hint="eastAsia"/>
          <w:highlight w:val="none"/>
        </w:rPr>
      </w:pPr>
      <w:bookmarkStart w:id="394" w:name="_Toc30009"/>
      <w:r>
        <w:rPr>
          <w:rFonts w:hint="eastAsia"/>
          <w:highlight w:val="none"/>
        </w:rPr>
        <w:br w:type="page"/>
      </w:r>
    </w:p>
    <w:p w14:paraId="0D1E5334">
      <w:pPr>
        <w:pStyle w:val="2"/>
        <w:tabs>
          <w:tab w:val="left" w:pos="0"/>
        </w:tabs>
        <w:jc w:val="center"/>
        <w:rPr>
          <w:rFonts w:hint="eastAsia"/>
          <w:highlight w:val="none"/>
        </w:rPr>
      </w:pPr>
      <w:bookmarkStart w:id="395" w:name="_Toc20350"/>
      <w:r>
        <w:rPr>
          <w:rFonts w:hint="eastAsia"/>
          <w:highlight w:val="none"/>
        </w:rPr>
        <w:t>第2章</w:t>
      </w:r>
      <w:bookmarkStart w:id="396" w:name="_Toc4766813"/>
      <w:r>
        <w:rPr>
          <w:rFonts w:hint="eastAsia"/>
          <w:highlight w:val="none"/>
        </w:rPr>
        <w:t xml:space="preserve"> </w:t>
      </w:r>
      <w:bookmarkEnd w:id="390"/>
      <w:bookmarkEnd w:id="396"/>
      <w:r>
        <w:rPr>
          <w:rFonts w:hint="eastAsia"/>
          <w:highlight w:val="none"/>
        </w:rPr>
        <w:t>竞争性磋商公告</w:t>
      </w:r>
      <w:bookmarkEnd w:id="391"/>
      <w:bookmarkEnd w:id="392"/>
      <w:bookmarkEnd w:id="393"/>
      <w:bookmarkEnd w:id="394"/>
      <w:bookmarkEnd w:id="395"/>
    </w:p>
    <w:tbl>
      <w:tblPr>
        <w:tblStyle w:val="31"/>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38"/>
      </w:tblGrid>
      <w:tr w14:paraId="0E6EB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64" w:hRule="atLeast"/>
          <w:jc w:val="center"/>
        </w:trPr>
        <w:tc>
          <w:tcPr>
            <w:tcW w:w="8600" w:type="dxa"/>
          </w:tcPr>
          <w:p w14:paraId="5F6AA2D1">
            <w:pPr>
              <w:keepNext w:val="0"/>
              <w:keepLines w:val="0"/>
              <w:pageBreakBefore w:val="0"/>
              <w:widowControl w:val="0"/>
              <w:kinsoku/>
              <w:wordWrap w:val="0"/>
              <w:overflowPunct/>
              <w:topLinePunct w:val="0"/>
              <w:autoSpaceDE/>
              <w:autoSpaceDN/>
              <w:bidi w:val="0"/>
              <w:adjustRightInd/>
              <w:snapToGrid/>
              <w:spacing w:line="312" w:lineRule="auto"/>
              <w:jc w:val="both"/>
              <w:textAlignment w:val="auto"/>
              <w:rPr>
                <w:rFonts w:hint="eastAsia" w:ascii="宋体" w:hAnsi="宋体" w:eastAsia="宋体" w:cs="宋体"/>
                <w:sz w:val="24"/>
                <w:szCs w:val="24"/>
                <w:highlight w:val="none"/>
              </w:rPr>
            </w:pPr>
            <w:bookmarkStart w:id="397" w:name="_Toc1719"/>
            <w:bookmarkStart w:id="398" w:name="_Toc512937850"/>
            <w:r>
              <w:rPr>
                <w:rFonts w:hint="eastAsia" w:ascii="宋体" w:hAnsi="宋体" w:eastAsia="宋体" w:cs="宋体"/>
                <w:sz w:val="24"/>
                <w:szCs w:val="24"/>
                <w:highlight w:val="none"/>
              </w:rPr>
              <w:t>项目概况</w:t>
            </w:r>
          </w:p>
          <w:p w14:paraId="18F51D38">
            <w:pPr>
              <w:keepNext w:val="0"/>
              <w:keepLines w:val="0"/>
              <w:pageBreakBefore w:val="0"/>
              <w:widowControl w:val="0"/>
              <w:kinsoku/>
              <w:wordWrap w:val="0"/>
              <w:overflowPunct/>
              <w:topLinePunct w:val="0"/>
              <w:autoSpaceDE/>
              <w:autoSpaceDN/>
              <w:bidi w:val="0"/>
              <w:adjustRightInd/>
              <w:snapToGrid/>
              <w:spacing w:line="312" w:lineRule="auto"/>
              <w:ind w:firstLine="480" w:firstLineChars="200"/>
              <w:jc w:val="both"/>
              <w:textAlignment w:val="auto"/>
              <w:rPr>
                <w:rFonts w:hint="eastAsia" w:ascii="宋体" w:hAnsi="宋体" w:eastAsia="宋体" w:cs="宋体"/>
                <w:sz w:val="24"/>
                <w:szCs w:val="24"/>
                <w:highlight w:val="none"/>
              </w:rPr>
            </w:pPr>
            <w:r>
              <w:rPr>
                <w:rFonts w:hint="eastAsia" w:cs="宋体"/>
                <w:sz w:val="24"/>
                <w:szCs w:val="24"/>
                <w:highlight w:val="none"/>
                <w:lang w:eastAsia="zh-CN"/>
              </w:rPr>
              <w:t>菏泽市住房和城乡建设局2025年度第三方质量安全辅助巡查服务项目</w:t>
            </w:r>
            <w:r>
              <w:rPr>
                <w:rFonts w:hint="eastAsia" w:ascii="宋体" w:hAnsi="宋体" w:eastAsia="宋体" w:cs="宋体"/>
                <w:sz w:val="24"/>
                <w:szCs w:val="24"/>
                <w:highlight w:val="none"/>
              </w:rPr>
              <w:t>的潜在供应商应在</w:t>
            </w:r>
            <w:r>
              <w:rPr>
                <w:rFonts w:hint="eastAsia" w:cs="宋体"/>
                <w:sz w:val="24"/>
                <w:szCs w:val="24"/>
                <w:highlight w:val="none"/>
                <w:lang w:eastAsia="zh-CN"/>
              </w:rPr>
              <w:t>中国山东政府采购网</w:t>
            </w:r>
            <w:r>
              <w:rPr>
                <w:rFonts w:hint="eastAsia" w:ascii="宋体" w:hAnsi="宋体" w:eastAsia="宋体" w:cs="宋体"/>
                <w:sz w:val="24"/>
                <w:szCs w:val="24"/>
                <w:highlight w:val="none"/>
                <w:lang w:val="en-US" w:eastAsia="zh-CN"/>
              </w:rPr>
              <w:t>、</w:t>
            </w:r>
            <w:r>
              <w:rPr>
                <w:rFonts w:hint="eastAsia" w:cs="宋体"/>
                <w:sz w:val="24"/>
                <w:szCs w:val="24"/>
                <w:highlight w:val="none"/>
                <w:lang w:val="en-US" w:eastAsia="zh-CN"/>
              </w:rPr>
              <w:t xml:space="preserve"> </w:t>
            </w:r>
            <w:r>
              <w:rPr>
                <w:rFonts w:hint="eastAsia" w:ascii="宋体" w:hAnsi="宋体" w:eastAsia="宋体" w:cs="宋体"/>
                <w:sz w:val="24"/>
                <w:szCs w:val="24"/>
                <w:highlight w:val="none"/>
                <w:lang w:eastAsia="zh-CN"/>
              </w:rPr>
              <w:t>鲁采采电子招投标交易平台</w:t>
            </w:r>
            <w:r>
              <w:rPr>
                <w:rFonts w:hint="eastAsia" w:ascii="宋体" w:hAnsi="宋体" w:eastAsia="宋体" w:cs="宋体"/>
                <w:sz w:val="24"/>
                <w:szCs w:val="24"/>
                <w:highlight w:val="none"/>
              </w:rPr>
              <w:t>获取竞争性磋商文件，</w:t>
            </w:r>
            <w:r>
              <w:rPr>
                <w:rFonts w:hint="eastAsia" w:cs="宋体"/>
                <w:sz w:val="24"/>
                <w:szCs w:val="24"/>
                <w:highlight w:val="none"/>
                <w:lang w:val="en-US" w:eastAsia="zh-CN"/>
              </w:rPr>
              <w:t xml:space="preserve"> </w:t>
            </w:r>
            <w:r>
              <w:rPr>
                <w:rFonts w:hint="eastAsia" w:ascii="宋体" w:hAnsi="宋体" w:eastAsia="宋体" w:cs="宋体"/>
                <w:sz w:val="24"/>
                <w:szCs w:val="24"/>
                <w:highlight w:val="none"/>
              </w:rPr>
              <w:t>并于2025年</w:t>
            </w:r>
            <w:r>
              <w:rPr>
                <w:rFonts w:hint="eastAsia" w:cs="宋体"/>
                <w:sz w:val="24"/>
                <w:szCs w:val="24"/>
                <w:highlight w:val="none"/>
                <w:lang w:val="en-US" w:eastAsia="zh-CN"/>
              </w:rPr>
              <w:t>11</w:t>
            </w:r>
            <w:r>
              <w:rPr>
                <w:rFonts w:hint="eastAsia" w:ascii="宋体" w:hAnsi="宋体" w:eastAsia="宋体" w:cs="宋体"/>
                <w:sz w:val="24"/>
                <w:szCs w:val="24"/>
                <w:highlight w:val="none"/>
              </w:rPr>
              <w:t>月</w:t>
            </w:r>
            <w:r>
              <w:rPr>
                <w:rFonts w:hint="eastAsia" w:cs="宋体"/>
                <w:sz w:val="24"/>
                <w:szCs w:val="24"/>
                <w:highlight w:val="none"/>
                <w:lang w:val="en-US" w:eastAsia="zh-CN"/>
              </w:rPr>
              <w:t>04</w:t>
            </w:r>
            <w:r>
              <w:rPr>
                <w:rFonts w:hint="eastAsia" w:ascii="宋体" w:hAnsi="宋体" w:eastAsia="宋体" w:cs="宋体"/>
                <w:sz w:val="24"/>
                <w:szCs w:val="24"/>
                <w:highlight w:val="none"/>
              </w:rPr>
              <w:t>日09</w:t>
            </w:r>
            <w:r>
              <w:rPr>
                <w:rFonts w:hint="eastAsia" w:cs="宋体"/>
                <w:sz w:val="24"/>
                <w:szCs w:val="24"/>
                <w:highlight w:val="none"/>
                <w:lang w:val="en-US" w:eastAsia="zh-CN"/>
              </w:rPr>
              <w:t>:</w:t>
            </w:r>
            <w:r>
              <w:rPr>
                <w:rFonts w:hint="eastAsia" w:ascii="宋体" w:hAnsi="宋体" w:eastAsia="宋体" w:cs="宋体"/>
                <w:sz w:val="24"/>
                <w:szCs w:val="24"/>
                <w:highlight w:val="none"/>
              </w:rPr>
              <w:t>0</w:t>
            </w:r>
            <w:r>
              <w:rPr>
                <w:rFonts w:hint="eastAsia" w:cs="宋体"/>
                <w:sz w:val="24"/>
                <w:szCs w:val="24"/>
                <w:highlight w:val="none"/>
                <w:lang w:val="en-US" w:eastAsia="zh-CN"/>
              </w:rPr>
              <w:t>0时</w:t>
            </w:r>
            <w:r>
              <w:rPr>
                <w:rFonts w:hint="eastAsia" w:ascii="宋体" w:hAnsi="宋体" w:eastAsia="宋体" w:cs="宋体"/>
                <w:sz w:val="24"/>
                <w:szCs w:val="24"/>
                <w:highlight w:val="none"/>
              </w:rPr>
              <w:t>前（北京时间）提交响应文件。</w:t>
            </w:r>
          </w:p>
        </w:tc>
      </w:tr>
    </w:tbl>
    <w:p w14:paraId="48CB3F8B">
      <w:pPr>
        <w:keepNext w:val="0"/>
        <w:keepLines w:val="0"/>
        <w:pageBreakBefore w:val="0"/>
        <w:widowControl w:val="0"/>
        <w:kinsoku/>
        <w:wordWrap w:val="0"/>
        <w:overflowPunct/>
        <w:topLinePunct w:val="0"/>
        <w:autoSpaceDE/>
        <w:autoSpaceDN/>
        <w:bidi w:val="0"/>
        <w:adjustRightInd/>
        <w:snapToGrid/>
        <w:spacing w:line="312" w:lineRule="auto"/>
        <w:textAlignment w:val="auto"/>
        <w:outlineLvl w:val="1"/>
        <w:rPr>
          <w:rFonts w:hint="eastAsia" w:ascii="宋体" w:hAnsi="宋体" w:eastAsia="宋体" w:cs="宋体"/>
          <w:b/>
          <w:bCs/>
          <w:sz w:val="24"/>
          <w:szCs w:val="24"/>
          <w:highlight w:val="none"/>
        </w:rPr>
      </w:pPr>
      <w:bookmarkStart w:id="399" w:name="_Toc26318"/>
      <w:bookmarkStart w:id="400" w:name="_Toc17156"/>
      <w:bookmarkStart w:id="401" w:name="_Toc9911"/>
      <w:bookmarkStart w:id="402" w:name="_Toc16001"/>
      <w:bookmarkStart w:id="403" w:name="_Toc1828"/>
      <w:bookmarkStart w:id="404" w:name="_Toc21403"/>
      <w:r>
        <w:rPr>
          <w:rFonts w:hint="eastAsia" w:ascii="宋体" w:hAnsi="宋体" w:eastAsia="宋体" w:cs="宋体"/>
          <w:b/>
          <w:bCs/>
          <w:sz w:val="24"/>
          <w:szCs w:val="24"/>
          <w:highlight w:val="none"/>
        </w:rPr>
        <w:t>一、项目基本情况</w:t>
      </w:r>
      <w:bookmarkEnd w:id="399"/>
      <w:bookmarkEnd w:id="400"/>
      <w:bookmarkEnd w:id="401"/>
      <w:bookmarkEnd w:id="402"/>
      <w:bookmarkEnd w:id="403"/>
      <w:bookmarkEnd w:id="404"/>
    </w:p>
    <w:p w14:paraId="385187E5">
      <w:pPr>
        <w:keepNext w:val="0"/>
        <w:keepLines w:val="0"/>
        <w:pageBreakBefore w:val="0"/>
        <w:widowControl w:val="0"/>
        <w:kinsoku/>
        <w:overflowPunct/>
        <w:topLinePunct w:val="0"/>
        <w:autoSpaceDE/>
        <w:autoSpaceDN/>
        <w:bidi w:val="0"/>
        <w:adjustRightInd/>
        <w:snapToGrid/>
        <w:spacing w:line="312" w:lineRule="auto"/>
        <w:ind w:firstLine="360" w:firstLineChars="150"/>
        <w:textAlignment w:val="auto"/>
        <w:outlineLvl w:val="2"/>
        <w:rPr>
          <w:rFonts w:hint="eastAsia" w:ascii="宋体" w:hAnsi="宋体" w:eastAsia="宋体" w:cs="宋体"/>
          <w:sz w:val="24"/>
          <w:szCs w:val="24"/>
          <w:highlight w:val="none"/>
        </w:rPr>
      </w:pPr>
      <w:bookmarkStart w:id="405" w:name="_Toc3308"/>
      <w:bookmarkStart w:id="406" w:name="_Toc9970"/>
      <w:bookmarkStart w:id="407" w:name="_Toc13189"/>
      <w:bookmarkStart w:id="408" w:name="_Toc19065"/>
      <w:bookmarkStart w:id="409" w:name="_Toc8108"/>
      <w:bookmarkStart w:id="410" w:name="_Toc14302"/>
      <w:r>
        <w:rPr>
          <w:rFonts w:hint="eastAsia" w:ascii="宋体" w:hAnsi="宋体" w:eastAsia="宋体" w:cs="宋体"/>
          <w:sz w:val="24"/>
          <w:szCs w:val="24"/>
          <w:highlight w:val="none"/>
        </w:rPr>
        <w:t>1.项目编号：</w:t>
      </w:r>
      <w:bookmarkEnd w:id="405"/>
      <w:bookmarkEnd w:id="406"/>
      <w:bookmarkEnd w:id="407"/>
      <w:bookmarkEnd w:id="408"/>
      <w:bookmarkEnd w:id="409"/>
      <w:bookmarkEnd w:id="410"/>
      <w:r>
        <w:rPr>
          <w:rFonts w:hint="eastAsia" w:ascii="宋体" w:hAnsi="宋体" w:eastAsia="宋体" w:cs="宋体"/>
          <w:sz w:val="24"/>
          <w:szCs w:val="24"/>
          <w:highlight w:val="none"/>
        </w:rPr>
        <w:t>SDGP371700000202502000427</w:t>
      </w:r>
    </w:p>
    <w:p w14:paraId="2AD73236">
      <w:pPr>
        <w:keepNext w:val="0"/>
        <w:keepLines w:val="0"/>
        <w:pageBreakBefore w:val="0"/>
        <w:widowControl w:val="0"/>
        <w:kinsoku/>
        <w:overflowPunct/>
        <w:topLinePunct w:val="0"/>
        <w:autoSpaceDE/>
        <w:autoSpaceDN/>
        <w:bidi w:val="0"/>
        <w:adjustRightInd/>
        <w:snapToGrid/>
        <w:spacing w:line="312" w:lineRule="auto"/>
        <w:ind w:firstLine="360" w:firstLineChars="150"/>
        <w:textAlignment w:val="auto"/>
        <w:outlineLvl w:val="2"/>
        <w:rPr>
          <w:rFonts w:hint="eastAsia" w:ascii="宋体" w:hAnsi="宋体" w:eastAsia="宋体" w:cs="宋体"/>
          <w:sz w:val="24"/>
          <w:szCs w:val="24"/>
          <w:highlight w:val="none"/>
        </w:rPr>
      </w:pPr>
      <w:bookmarkStart w:id="411" w:name="_Toc20635"/>
      <w:bookmarkStart w:id="412" w:name="_Toc30433"/>
      <w:bookmarkStart w:id="413" w:name="_Toc27147"/>
      <w:bookmarkStart w:id="414" w:name="_Toc17572"/>
      <w:bookmarkStart w:id="415" w:name="_Toc9991"/>
      <w:bookmarkStart w:id="416" w:name="_Toc4189"/>
      <w:r>
        <w:rPr>
          <w:rFonts w:hint="eastAsia" w:ascii="宋体" w:hAnsi="宋体" w:eastAsia="宋体" w:cs="宋体"/>
          <w:sz w:val="24"/>
          <w:szCs w:val="24"/>
          <w:highlight w:val="none"/>
        </w:rPr>
        <w:t>2.项目名称：</w:t>
      </w:r>
      <w:bookmarkEnd w:id="411"/>
      <w:bookmarkEnd w:id="412"/>
      <w:bookmarkEnd w:id="413"/>
      <w:bookmarkEnd w:id="414"/>
      <w:bookmarkEnd w:id="415"/>
      <w:r>
        <w:rPr>
          <w:rFonts w:hint="eastAsia" w:cs="宋体"/>
          <w:sz w:val="24"/>
          <w:szCs w:val="24"/>
          <w:highlight w:val="none"/>
          <w:lang w:eastAsia="zh-CN"/>
        </w:rPr>
        <w:t>菏泽市住房和城乡建设局2025年度第三方质量安全辅助巡查服务项目</w:t>
      </w:r>
      <w:bookmarkEnd w:id="416"/>
      <w:r>
        <w:rPr>
          <w:rFonts w:hint="eastAsia" w:ascii="宋体" w:hAnsi="宋体" w:eastAsia="宋体" w:cs="宋体"/>
          <w:sz w:val="24"/>
          <w:szCs w:val="24"/>
          <w:highlight w:val="none"/>
        </w:rPr>
        <w:t xml:space="preserve"> </w:t>
      </w:r>
    </w:p>
    <w:p w14:paraId="1CAE092D">
      <w:pPr>
        <w:keepNext w:val="0"/>
        <w:keepLines w:val="0"/>
        <w:pageBreakBefore w:val="0"/>
        <w:widowControl w:val="0"/>
        <w:kinsoku/>
        <w:overflowPunct/>
        <w:topLinePunct w:val="0"/>
        <w:autoSpaceDE/>
        <w:autoSpaceDN/>
        <w:bidi w:val="0"/>
        <w:adjustRightInd/>
        <w:snapToGrid/>
        <w:spacing w:line="312" w:lineRule="auto"/>
        <w:ind w:firstLine="360" w:firstLineChars="150"/>
        <w:textAlignment w:val="auto"/>
        <w:outlineLvl w:val="2"/>
        <w:rPr>
          <w:rFonts w:hint="eastAsia" w:ascii="宋体" w:hAnsi="宋体" w:eastAsia="宋体" w:cs="宋体"/>
          <w:sz w:val="24"/>
          <w:szCs w:val="24"/>
          <w:highlight w:val="none"/>
        </w:rPr>
      </w:pPr>
      <w:bookmarkStart w:id="417" w:name="_Toc4005"/>
      <w:bookmarkStart w:id="418" w:name="_Toc30196"/>
      <w:bookmarkStart w:id="419" w:name="_Toc22702"/>
      <w:bookmarkStart w:id="420" w:name="_Toc25315"/>
      <w:bookmarkStart w:id="421" w:name="_Toc10330"/>
      <w:bookmarkStart w:id="422" w:name="_Toc15412"/>
      <w:r>
        <w:rPr>
          <w:rFonts w:hint="eastAsia" w:ascii="宋体" w:hAnsi="宋体" w:eastAsia="宋体" w:cs="宋体"/>
          <w:sz w:val="24"/>
          <w:szCs w:val="24"/>
          <w:highlight w:val="none"/>
        </w:rPr>
        <w:t>3.采购方式：竞争性磋商</w:t>
      </w:r>
      <w:bookmarkEnd w:id="417"/>
      <w:bookmarkEnd w:id="418"/>
      <w:bookmarkEnd w:id="419"/>
      <w:bookmarkEnd w:id="420"/>
      <w:bookmarkEnd w:id="421"/>
      <w:bookmarkEnd w:id="422"/>
    </w:p>
    <w:p w14:paraId="225300C1">
      <w:pPr>
        <w:keepNext w:val="0"/>
        <w:keepLines w:val="0"/>
        <w:pageBreakBefore w:val="0"/>
        <w:widowControl w:val="0"/>
        <w:kinsoku/>
        <w:overflowPunct/>
        <w:topLinePunct w:val="0"/>
        <w:autoSpaceDE/>
        <w:autoSpaceDN/>
        <w:bidi w:val="0"/>
        <w:adjustRightInd/>
        <w:snapToGrid/>
        <w:spacing w:line="312" w:lineRule="auto"/>
        <w:ind w:firstLine="360" w:firstLineChars="150"/>
        <w:textAlignment w:val="auto"/>
        <w:outlineLvl w:val="2"/>
        <w:rPr>
          <w:rFonts w:hint="eastAsia" w:ascii="宋体" w:hAnsi="宋体" w:eastAsia="宋体" w:cs="宋体"/>
          <w:sz w:val="24"/>
          <w:szCs w:val="24"/>
          <w:highlight w:val="none"/>
          <w:lang w:val="en-US" w:eastAsia="zh-CN"/>
        </w:rPr>
      </w:pPr>
      <w:bookmarkStart w:id="423" w:name="_Toc6062"/>
      <w:r>
        <w:rPr>
          <w:rFonts w:hint="eastAsia" w:ascii="宋体" w:hAnsi="宋体" w:eastAsia="宋体" w:cs="宋体"/>
          <w:sz w:val="24"/>
          <w:szCs w:val="24"/>
          <w:highlight w:val="none"/>
          <w:lang w:val="en-US" w:eastAsia="zh-CN"/>
        </w:rPr>
        <w:t>4.采购预算：1433200.00元</w:t>
      </w:r>
      <w:bookmarkEnd w:id="423"/>
    </w:p>
    <w:p w14:paraId="5BA2C8BB">
      <w:pPr>
        <w:keepNext w:val="0"/>
        <w:keepLines w:val="0"/>
        <w:pageBreakBefore w:val="0"/>
        <w:widowControl w:val="0"/>
        <w:kinsoku/>
        <w:overflowPunct/>
        <w:topLinePunct w:val="0"/>
        <w:autoSpaceDE/>
        <w:autoSpaceDN/>
        <w:bidi w:val="0"/>
        <w:adjustRightInd/>
        <w:snapToGrid/>
        <w:spacing w:line="312" w:lineRule="auto"/>
        <w:ind w:firstLine="360" w:firstLineChars="150"/>
        <w:textAlignment w:val="auto"/>
        <w:outlineLvl w:val="2"/>
        <w:rPr>
          <w:rFonts w:hint="eastAsia" w:ascii="宋体" w:hAnsi="宋体" w:eastAsia="宋体" w:cs="宋体"/>
          <w:sz w:val="24"/>
          <w:szCs w:val="24"/>
          <w:highlight w:val="none"/>
        </w:rPr>
      </w:pPr>
      <w:bookmarkStart w:id="424" w:name="_Toc21612"/>
      <w:bookmarkStart w:id="425" w:name="_Toc23129"/>
      <w:bookmarkStart w:id="426" w:name="_Toc19843"/>
      <w:bookmarkStart w:id="427" w:name="_Toc9133"/>
      <w:bookmarkStart w:id="428" w:name="_Toc3793"/>
      <w:bookmarkStart w:id="429" w:name="_Toc26986"/>
      <w:bookmarkStart w:id="430" w:name="_Toc1656"/>
      <w:bookmarkStart w:id="431" w:name="_Toc16634"/>
      <w:bookmarkStart w:id="432" w:name="_Toc35393630"/>
      <w:bookmarkStart w:id="433" w:name="_Toc20640"/>
      <w:bookmarkStart w:id="434" w:name="_Toc28359090"/>
      <w:bookmarkStart w:id="435" w:name="_Toc35393799"/>
      <w:bookmarkStart w:id="436" w:name="_Toc27595"/>
      <w:bookmarkStart w:id="437" w:name="_Toc28359013"/>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.最高限价</w:t>
      </w:r>
      <w:bookmarkEnd w:id="424"/>
      <w:bookmarkEnd w:id="425"/>
      <w:bookmarkEnd w:id="426"/>
      <w:bookmarkEnd w:id="427"/>
      <w:bookmarkEnd w:id="428"/>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1433200.00元</w:t>
      </w:r>
      <w:bookmarkEnd w:id="429"/>
    </w:p>
    <w:p w14:paraId="512294E1">
      <w:pPr>
        <w:keepNext w:val="0"/>
        <w:keepLines w:val="0"/>
        <w:pageBreakBefore w:val="0"/>
        <w:widowControl w:val="0"/>
        <w:kinsoku/>
        <w:overflowPunct/>
        <w:topLinePunct w:val="0"/>
        <w:autoSpaceDE/>
        <w:autoSpaceDN/>
        <w:bidi w:val="0"/>
        <w:adjustRightInd/>
        <w:snapToGrid/>
        <w:spacing w:line="312" w:lineRule="auto"/>
        <w:ind w:firstLine="360" w:firstLineChars="150"/>
        <w:textAlignment w:val="auto"/>
        <w:outlineLvl w:val="2"/>
        <w:rPr>
          <w:rFonts w:hint="eastAsia" w:ascii="宋体" w:hAnsi="宋体" w:eastAsia="宋体" w:cs="宋体"/>
          <w:sz w:val="24"/>
          <w:szCs w:val="24"/>
          <w:highlight w:val="none"/>
        </w:rPr>
      </w:pPr>
      <w:bookmarkStart w:id="438" w:name="_Toc1103"/>
      <w:bookmarkStart w:id="439" w:name="_Toc7661"/>
      <w:bookmarkStart w:id="440" w:name="_Toc11120"/>
      <w:bookmarkStart w:id="441" w:name="_Toc17047"/>
      <w:bookmarkStart w:id="442" w:name="_Toc17627"/>
      <w:bookmarkStart w:id="443" w:name="_Toc15618"/>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.采购需求：</w:t>
      </w:r>
      <w:bookmarkEnd w:id="438"/>
    </w:p>
    <w:tbl>
      <w:tblPr>
        <w:tblStyle w:val="58"/>
        <w:tblW w:w="953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7"/>
        <w:gridCol w:w="3056"/>
        <w:gridCol w:w="3623"/>
        <w:gridCol w:w="1902"/>
      </w:tblGrid>
      <w:tr w14:paraId="6EF36A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jc w:val="center"/>
        </w:trPr>
        <w:tc>
          <w:tcPr>
            <w:tcW w:w="957" w:type="dxa"/>
            <w:vAlign w:val="center"/>
          </w:tcPr>
          <w:p w14:paraId="6BC3482D">
            <w:pPr>
              <w:keepNext w:val="0"/>
              <w:keepLines w:val="0"/>
              <w:pageBreakBefore w:val="0"/>
              <w:widowControl w:val="0"/>
              <w:kinsoku/>
              <w:overflowPunct/>
              <w:topLinePunct w:val="0"/>
              <w:autoSpaceDE/>
              <w:autoSpaceDN/>
              <w:bidi w:val="0"/>
              <w:adjustRightInd/>
              <w:snapToGrid/>
              <w:spacing w:line="240" w:lineRule="auto"/>
              <w:jc w:val="center"/>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val="en-US" w:eastAsia="zh-CN"/>
              </w:rPr>
              <w:t>包号</w:t>
            </w:r>
          </w:p>
        </w:tc>
        <w:tc>
          <w:tcPr>
            <w:tcW w:w="3056" w:type="dxa"/>
            <w:vAlign w:val="center"/>
          </w:tcPr>
          <w:p w14:paraId="3105C4AD">
            <w:pPr>
              <w:keepNext w:val="0"/>
              <w:keepLines w:val="0"/>
              <w:pageBreakBefore w:val="0"/>
              <w:widowControl w:val="0"/>
              <w:kinsoku/>
              <w:overflowPunct/>
              <w:topLinePunct w:val="0"/>
              <w:autoSpaceDE/>
              <w:autoSpaceDN/>
              <w:bidi w:val="0"/>
              <w:adjustRightInd/>
              <w:snapToGrid/>
              <w:spacing w:line="240" w:lineRule="auto"/>
              <w:jc w:val="center"/>
              <w:textAlignment w:val="auto"/>
              <w:rPr>
                <w:rFonts w:hint="eastAsia" w:ascii="宋体" w:hAnsi="宋体" w:eastAsia="宋体" w:cs="宋体"/>
                <w:snapToGrid/>
                <w:color w:val="auto"/>
                <w:kern w:val="2"/>
                <w:sz w:val="24"/>
                <w:szCs w:val="24"/>
                <w:highlight w:val="none"/>
                <w:lang w:val="en-US" w:eastAsia="zh-CN"/>
              </w:rPr>
            </w:pPr>
            <w:r>
              <w:rPr>
                <w:rFonts w:hint="eastAsia" w:ascii="宋体" w:hAnsi="宋体" w:eastAsia="宋体" w:cs="宋体"/>
                <w:snapToGrid/>
                <w:color w:val="auto"/>
                <w:kern w:val="2"/>
                <w:sz w:val="24"/>
                <w:szCs w:val="24"/>
                <w:highlight w:val="none"/>
                <w:lang w:eastAsia="zh-CN"/>
              </w:rPr>
              <w:t>标的名称</w:t>
            </w:r>
          </w:p>
        </w:tc>
        <w:tc>
          <w:tcPr>
            <w:tcW w:w="3623" w:type="dxa"/>
            <w:vAlign w:val="center"/>
          </w:tcPr>
          <w:p w14:paraId="1886C4F1">
            <w:pPr>
              <w:keepNext w:val="0"/>
              <w:keepLines w:val="0"/>
              <w:pageBreakBefore w:val="0"/>
              <w:widowControl w:val="0"/>
              <w:kinsoku/>
              <w:overflowPunct/>
              <w:topLinePunct w:val="0"/>
              <w:autoSpaceDE/>
              <w:autoSpaceDN/>
              <w:bidi w:val="0"/>
              <w:adjustRightInd/>
              <w:snapToGrid/>
              <w:spacing w:line="240" w:lineRule="auto"/>
              <w:jc w:val="center"/>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eastAsia="zh-CN"/>
              </w:rPr>
              <w:t>简要技术需求或服务要求</w:t>
            </w:r>
          </w:p>
        </w:tc>
        <w:tc>
          <w:tcPr>
            <w:tcW w:w="1902" w:type="dxa"/>
            <w:vAlign w:val="center"/>
          </w:tcPr>
          <w:p w14:paraId="7167DF52">
            <w:pPr>
              <w:keepNext w:val="0"/>
              <w:keepLines w:val="0"/>
              <w:pageBreakBefore w:val="0"/>
              <w:widowControl w:val="0"/>
              <w:kinsoku/>
              <w:overflowPunct/>
              <w:topLinePunct w:val="0"/>
              <w:autoSpaceDE/>
              <w:autoSpaceDN/>
              <w:bidi w:val="0"/>
              <w:adjustRightInd/>
              <w:snapToGrid/>
              <w:spacing w:line="240" w:lineRule="auto"/>
              <w:jc w:val="center"/>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eastAsia="zh-CN"/>
              </w:rPr>
              <w:t>本包预算金额</w:t>
            </w:r>
          </w:p>
          <w:p w14:paraId="781577FF">
            <w:pPr>
              <w:keepNext w:val="0"/>
              <w:keepLines w:val="0"/>
              <w:pageBreakBefore w:val="0"/>
              <w:widowControl w:val="0"/>
              <w:kinsoku/>
              <w:overflowPunct/>
              <w:topLinePunct w:val="0"/>
              <w:autoSpaceDE/>
              <w:autoSpaceDN/>
              <w:bidi w:val="0"/>
              <w:adjustRightInd/>
              <w:snapToGrid/>
              <w:spacing w:line="240" w:lineRule="auto"/>
              <w:jc w:val="center"/>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eastAsia="zh-CN"/>
              </w:rPr>
              <w:t>（单位：元）</w:t>
            </w:r>
          </w:p>
        </w:tc>
      </w:tr>
      <w:tr w14:paraId="2B0119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4" w:hRule="atLeast"/>
          <w:jc w:val="center"/>
        </w:trPr>
        <w:tc>
          <w:tcPr>
            <w:tcW w:w="957" w:type="dxa"/>
            <w:vAlign w:val="center"/>
          </w:tcPr>
          <w:p w14:paraId="36DF621A">
            <w:pPr>
              <w:keepNext w:val="0"/>
              <w:keepLines w:val="0"/>
              <w:pageBreakBefore w:val="0"/>
              <w:widowControl w:val="0"/>
              <w:kinsoku/>
              <w:overflowPunct/>
              <w:topLinePunct w:val="0"/>
              <w:autoSpaceDE/>
              <w:autoSpaceDN/>
              <w:bidi w:val="0"/>
              <w:adjustRightInd/>
              <w:snapToGrid/>
              <w:spacing w:line="240" w:lineRule="auto"/>
              <w:jc w:val="center"/>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eastAsia="zh-CN"/>
              </w:rPr>
              <w:t>A</w:t>
            </w:r>
          </w:p>
        </w:tc>
        <w:tc>
          <w:tcPr>
            <w:tcW w:w="3056" w:type="dxa"/>
            <w:vAlign w:val="center"/>
          </w:tcPr>
          <w:p w14:paraId="07CDD02C">
            <w:pPr>
              <w:keepNext w:val="0"/>
              <w:keepLines w:val="0"/>
              <w:pageBreakBefore w:val="0"/>
              <w:widowControl w:val="0"/>
              <w:kinsoku/>
              <w:overflowPunct/>
              <w:topLinePunct w:val="0"/>
              <w:autoSpaceDE/>
              <w:autoSpaceDN/>
              <w:bidi w:val="0"/>
              <w:adjustRightInd/>
              <w:snapToGrid/>
              <w:spacing w:line="240" w:lineRule="auto"/>
              <w:jc w:val="center"/>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eastAsia="zh-CN"/>
              </w:rPr>
              <w:t>菏泽市住房和城乡建设局 2025年度第三方质量安全辅助巡查服务项目</w:t>
            </w:r>
          </w:p>
        </w:tc>
        <w:tc>
          <w:tcPr>
            <w:tcW w:w="3623" w:type="dxa"/>
            <w:vAlign w:val="center"/>
          </w:tcPr>
          <w:p w14:paraId="23EF9991">
            <w:pPr>
              <w:keepNext w:val="0"/>
              <w:keepLines w:val="0"/>
              <w:pageBreakBefore w:val="0"/>
              <w:widowControl w:val="0"/>
              <w:kinsoku/>
              <w:overflowPunct/>
              <w:topLinePunct w:val="0"/>
              <w:autoSpaceDE/>
              <w:autoSpaceDN/>
              <w:bidi w:val="0"/>
              <w:adjustRightInd/>
              <w:snapToGrid/>
              <w:spacing w:line="240" w:lineRule="auto"/>
              <w:jc w:val="center"/>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eastAsia="zh-CN"/>
              </w:rPr>
              <w:t>范围包括单县、曹县、定陶、成武、鲁西新区，具体详见</w:t>
            </w:r>
            <w:r>
              <w:rPr>
                <w:rFonts w:hint="eastAsia" w:ascii="宋体" w:hAnsi="宋体" w:eastAsia="宋体" w:cs="宋体"/>
                <w:snapToGrid/>
                <w:color w:val="auto"/>
                <w:kern w:val="2"/>
                <w:sz w:val="24"/>
                <w:szCs w:val="24"/>
                <w:highlight w:val="none"/>
                <w:lang w:val="en-US" w:eastAsia="zh-CN"/>
              </w:rPr>
              <w:t>磋商</w:t>
            </w:r>
            <w:r>
              <w:rPr>
                <w:rFonts w:hint="eastAsia" w:ascii="宋体" w:hAnsi="宋体" w:eastAsia="宋体" w:cs="宋体"/>
                <w:snapToGrid/>
                <w:color w:val="auto"/>
                <w:kern w:val="2"/>
                <w:sz w:val="24"/>
                <w:szCs w:val="24"/>
                <w:highlight w:val="none"/>
                <w:lang w:eastAsia="zh-CN"/>
              </w:rPr>
              <w:t>文件。</w:t>
            </w:r>
          </w:p>
        </w:tc>
        <w:tc>
          <w:tcPr>
            <w:tcW w:w="1902" w:type="dxa"/>
            <w:vAlign w:val="center"/>
          </w:tcPr>
          <w:p w14:paraId="2A48A09B">
            <w:pPr>
              <w:keepNext w:val="0"/>
              <w:keepLines w:val="0"/>
              <w:pageBreakBefore w:val="0"/>
              <w:widowControl w:val="0"/>
              <w:kinsoku/>
              <w:overflowPunct/>
              <w:topLinePunct w:val="0"/>
              <w:autoSpaceDE/>
              <w:autoSpaceDN/>
              <w:bidi w:val="0"/>
              <w:adjustRightInd/>
              <w:snapToGrid/>
              <w:spacing w:line="240" w:lineRule="auto"/>
              <w:jc w:val="center"/>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val="en-US" w:eastAsia="zh-CN"/>
              </w:rPr>
              <w:t>716600.00</w:t>
            </w:r>
          </w:p>
        </w:tc>
      </w:tr>
      <w:tr w14:paraId="16DC3B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4" w:hRule="atLeast"/>
          <w:jc w:val="center"/>
        </w:trPr>
        <w:tc>
          <w:tcPr>
            <w:tcW w:w="957" w:type="dxa"/>
            <w:vAlign w:val="center"/>
          </w:tcPr>
          <w:p w14:paraId="1DF0CA43">
            <w:pPr>
              <w:keepNext w:val="0"/>
              <w:keepLines w:val="0"/>
              <w:pageBreakBefore w:val="0"/>
              <w:widowControl w:val="0"/>
              <w:kinsoku/>
              <w:overflowPunct/>
              <w:topLinePunct w:val="0"/>
              <w:autoSpaceDE/>
              <w:autoSpaceDN/>
              <w:bidi w:val="0"/>
              <w:adjustRightInd/>
              <w:snapToGrid/>
              <w:spacing w:line="240" w:lineRule="auto"/>
              <w:jc w:val="center"/>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eastAsia="zh-CN"/>
              </w:rPr>
              <w:t>B</w:t>
            </w:r>
          </w:p>
        </w:tc>
        <w:tc>
          <w:tcPr>
            <w:tcW w:w="3056" w:type="dxa"/>
            <w:vAlign w:val="center"/>
          </w:tcPr>
          <w:p w14:paraId="2F897E74">
            <w:pPr>
              <w:keepNext w:val="0"/>
              <w:keepLines w:val="0"/>
              <w:pageBreakBefore w:val="0"/>
              <w:widowControl w:val="0"/>
              <w:kinsoku/>
              <w:overflowPunct/>
              <w:topLinePunct w:val="0"/>
              <w:autoSpaceDE/>
              <w:autoSpaceDN/>
              <w:bidi w:val="0"/>
              <w:adjustRightInd/>
              <w:snapToGrid/>
              <w:spacing w:line="240" w:lineRule="auto"/>
              <w:jc w:val="center"/>
              <w:textAlignment w:val="auto"/>
              <w:rPr>
                <w:rFonts w:hint="eastAsia" w:ascii="宋体" w:hAnsi="宋体" w:eastAsia="宋体" w:cs="宋体"/>
                <w:snapToGrid/>
                <w:color w:val="auto"/>
                <w:kern w:val="2"/>
                <w:sz w:val="24"/>
                <w:szCs w:val="24"/>
                <w:highlight w:val="none"/>
                <w:lang w:eastAsia="zh-CN"/>
              </w:rPr>
            </w:pPr>
            <w:r>
              <w:rPr>
                <w:rFonts w:hint="eastAsia" w:cs="宋体"/>
                <w:snapToGrid/>
                <w:color w:val="auto"/>
                <w:kern w:val="2"/>
                <w:sz w:val="24"/>
                <w:szCs w:val="24"/>
                <w:highlight w:val="none"/>
                <w:lang w:eastAsia="zh-CN"/>
              </w:rPr>
              <w:t>菏泽市住房和城乡建设局2025年度第三方质量安全辅助巡查服务项目</w:t>
            </w:r>
          </w:p>
        </w:tc>
        <w:tc>
          <w:tcPr>
            <w:tcW w:w="3623" w:type="dxa"/>
            <w:vAlign w:val="center"/>
          </w:tcPr>
          <w:p w14:paraId="37BAECB6">
            <w:pPr>
              <w:keepNext w:val="0"/>
              <w:keepLines w:val="0"/>
              <w:pageBreakBefore w:val="0"/>
              <w:widowControl w:val="0"/>
              <w:kinsoku/>
              <w:overflowPunct/>
              <w:topLinePunct w:val="0"/>
              <w:autoSpaceDE/>
              <w:autoSpaceDN/>
              <w:bidi w:val="0"/>
              <w:adjustRightInd/>
              <w:snapToGrid/>
              <w:spacing w:line="240" w:lineRule="auto"/>
              <w:jc w:val="center"/>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eastAsia="zh-CN"/>
              </w:rPr>
              <w:t>范围包括东明、鄄城、郓城、巨野、牡丹区，具体详见</w:t>
            </w:r>
            <w:r>
              <w:rPr>
                <w:rFonts w:hint="eastAsia" w:ascii="宋体" w:hAnsi="宋体" w:eastAsia="宋体" w:cs="宋体"/>
                <w:snapToGrid/>
                <w:color w:val="auto"/>
                <w:kern w:val="2"/>
                <w:sz w:val="24"/>
                <w:szCs w:val="24"/>
                <w:highlight w:val="none"/>
                <w:lang w:val="en-US" w:eastAsia="zh-CN"/>
              </w:rPr>
              <w:t>磋商</w:t>
            </w:r>
            <w:r>
              <w:rPr>
                <w:rFonts w:hint="eastAsia" w:ascii="宋体" w:hAnsi="宋体" w:eastAsia="宋体" w:cs="宋体"/>
                <w:snapToGrid/>
                <w:color w:val="auto"/>
                <w:kern w:val="2"/>
                <w:sz w:val="24"/>
                <w:szCs w:val="24"/>
                <w:highlight w:val="none"/>
                <w:lang w:eastAsia="zh-CN"/>
              </w:rPr>
              <w:t>文件。</w:t>
            </w:r>
          </w:p>
        </w:tc>
        <w:tc>
          <w:tcPr>
            <w:tcW w:w="1902" w:type="dxa"/>
            <w:vAlign w:val="center"/>
          </w:tcPr>
          <w:p w14:paraId="41C06D24">
            <w:pPr>
              <w:keepNext w:val="0"/>
              <w:keepLines w:val="0"/>
              <w:pageBreakBefore w:val="0"/>
              <w:widowControl w:val="0"/>
              <w:kinsoku/>
              <w:overflowPunct/>
              <w:topLinePunct w:val="0"/>
              <w:autoSpaceDE/>
              <w:autoSpaceDN/>
              <w:bidi w:val="0"/>
              <w:adjustRightInd/>
              <w:snapToGrid/>
              <w:spacing w:line="240" w:lineRule="auto"/>
              <w:jc w:val="center"/>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val="en-US" w:eastAsia="zh-CN"/>
              </w:rPr>
              <w:t>716600.00</w:t>
            </w:r>
          </w:p>
        </w:tc>
      </w:tr>
    </w:tbl>
    <w:p w14:paraId="2F25C359">
      <w:pPr>
        <w:keepNext w:val="0"/>
        <w:keepLines w:val="0"/>
        <w:pageBreakBefore w:val="0"/>
        <w:widowControl w:val="0"/>
        <w:kinsoku/>
        <w:overflowPunct/>
        <w:topLinePunct w:val="0"/>
        <w:autoSpaceDE/>
        <w:autoSpaceDN/>
        <w:bidi w:val="0"/>
        <w:adjustRightInd/>
        <w:snapToGrid/>
        <w:spacing w:line="312" w:lineRule="auto"/>
        <w:ind w:firstLine="360" w:firstLineChars="150"/>
        <w:textAlignment w:val="auto"/>
        <w:outlineLvl w:val="2"/>
        <w:rPr>
          <w:rFonts w:hint="eastAsia" w:ascii="宋体" w:hAnsi="宋体" w:eastAsia="宋体" w:cs="宋体"/>
          <w:sz w:val="24"/>
          <w:szCs w:val="24"/>
          <w:highlight w:val="none"/>
          <w:lang w:val="en-US" w:eastAsia="zh-CN"/>
        </w:rPr>
      </w:pPr>
      <w:bookmarkStart w:id="444" w:name="_Toc8710"/>
      <w:r>
        <w:rPr>
          <w:rFonts w:hint="eastAsia" w:ascii="宋体" w:hAnsi="宋体" w:eastAsia="宋体" w:cs="宋体"/>
          <w:sz w:val="24"/>
          <w:szCs w:val="24"/>
          <w:highlight w:val="none"/>
          <w:lang w:val="en-US" w:eastAsia="zh-CN"/>
        </w:rPr>
        <w:t>7.合同履行期限：签订合同时双方约定；</w:t>
      </w:r>
      <w:bookmarkEnd w:id="444"/>
    </w:p>
    <w:p w14:paraId="3640D7EA">
      <w:pPr>
        <w:keepNext w:val="0"/>
        <w:keepLines w:val="0"/>
        <w:pageBreakBefore w:val="0"/>
        <w:widowControl w:val="0"/>
        <w:kinsoku/>
        <w:overflowPunct/>
        <w:topLinePunct w:val="0"/>
        <w:autoSpaceDE/>
        <w:autoSpaceDN/>
        <w:bidi w:val="0"/>
        <w:adjustRightInd/>
        <w:snapToGrid/>
        <w:spacing w:line="312" w:lineRule="auto"/>
        <w:ind w:firstLine="360" w:firstLineChars="150"/>
        <w:textAlignment w:val="auto"/>
        <w:outlineLvl w:val="2"/>
        <w:rPr>
          <w:rFonts w:hint="eastAsia" w:ascii="宋体" w:hAnsi="宋体" w:eastAsia="宋体" w:cs="宋体"/>
          <w:sz w:val="24"/>
          <w:szCs w:val="24"/>
          <w:highlight w:val="none"/>
          <w:lang w:val="en-US" w:eastAsia="zh-CN"/>
        </w:rPr>
      </w:pPr>
      <w:bookmarkStart w:id="445" w:name="_Toc24984"/>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rPr>
        <w:t>本项目</w:t>
      </w:r>
      <w:r>
        <w:rPr>
          <w:rFonts w:hint="eastAsia" w:ascii="宋体" w:hAnsi="宋体" w:eastAsia="宋体" w:cs="宋体"/>
          <w:sz w:val="24"/>
          <w:szCs w:val="24"/>
          <w:highlight w:val="none"/>
          <w:lang w:val="en-US" w:eastAsia="zh-CN"/>
        </w:rPr>
        <w:t>不</w:t>
      </w:r>
      <w:r>
        <w:rPr>
          <w:rFonts w:hint="eastAsia" w:ascii="宋体" w:hAnsi="宋体" w:eastAsia="宋体" w:cs="宋体"/>
          <w:sz w:val="24"/>
          <w:szCs w:val="24"/>
          <w:highlight w:val="none"/>
        </w:rPr>
        <w:t>接受联合体</w:t>
      </w:r>
      <w:r>
        <w:rPr>
          <w:rFonts w:hint="eastAsia" w:ascii="宋体" w:hAnsi="宋体" w:eastAsia="宋体" w:cs="宋体"/>
          <w:sz w:val="24"/>
          <w:szCs w:val="24"/>
          <w:highlight w:val="none"/>
          <w:lang w:val="en-US" w:eastAsia="zh-CN"/>
        </w:rPr>
        <w:t>报价</w:t>
      </w:r>
      <w:r>
        <w:rPr>
          <w:rFonts w:hint="eastAsia" w:ascii="宋体" w:hAnsi="宋体" w:eastAsia="宋体" w:cs="宋体"/>
          <w:sz w:val="24"/>
          <w:szCs w:val="24"/>
          <w:highlight w:val="none"/>
        </w:rPr>
        <w:t>。</w:t>
      </w:r>
      <w:bookmarkEnd w:id="445"/>
    </w:p>
    <w:p w14:paraId="6757862E">
      <w:pPr>
        <w:keepNext w:val="0"/>
        <w:keepLines w:val="0"/>
        <w:pageBreakBefore w:val="0"/>
        <w:widowControl w:val="0"/>
        <w:kinsoku/>
        <w:wordWrap w:val="0"/>
        <w:overflowPunct/>
        <w:topLinePunct w:val="0"/>
        <w:autoSpaceDE/>
        <w:autoSpaceDN/>
        <w:bidi w:val="0"/>
        <w:adjustRightInd/>
        <w:snapToGrid/>
        <w:spacing w:line="312" w:lineRule="auto"/>
        <w:textAlignment w:val="auto"/>
        <w:outlineLvl w:val="1"/>
        <w:rPr>
          <w:rFonts w:hint="eastAsia" w:ascii="宋体" w:hAnsi="宋体" w:eastAsia="宋体" w:cs="宋体"/>
          <w:b/>
          <w:bCs/>
          <w:sz w:val="24"/>
          <w:szCs w:val="24"/>
          <w:highlight w:val="none"/>
        </w:rPr>
      </w:pPr>
      <w:bookmarkStart w:id="446" w:name="_Toc27886"/>
      <w:r>
        <w:rPr>
          <w:rFonts w:hint="eastAsia" w:ascii="宋体" w:hAnsi="宋体" w:eastAsia="宋体" w:cs="宋体"/>
          <w:b/>
          <w:bCs/>
          <w:sz w:val="24"/>
          <w:szCs w:val="24"/>
          <w:highlight w:val="none"/>
        </w:rPr>
        <w:t>二、申请人的资格要求：</w:t>
      </w:r>
      <w:bookmarkEnd w:id="430"/>
      <w:bookmarkEnd w:id="431"/>
      <w:bookmarkEnd w:id="432"/>
      <w:bookmarkEnd w:id="433"/>
      <w:bookmarkEnd w:id="434"/>
      <w:bookmarkEnd w:id="435"/>
      <w:bookmarkEnd w:id="436"/>
      <w:bookmarkEnd w:id="437"/>
      <w:bookmarkEnd w:id="439"/>
      <w:bookmarkEnd w:id="440"/>
      <w:bookmarkEnd w:id="441"/>
      <w:bookmarkEnd w:id="442"/>
      <w:bookmarkEnd w:id="443"/>
      <w:bookmarkEnd w:id="446"/>
    </w:p>
    <w:p w14:paraId="031C774D">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宋体" w:hAnsi="宋体" w:eastAsia="宋体" w:cs="宋体"/>
          <w:sz w:val="24"/>
          <w:szCs w:val="24"/>
          <w:highlight w:val="none"/>
          <w:lang w:val="en-US" w:eastAsia="zh-CN"/>
        </w:rPr>
      </w:pPr>
      <w:bookmarkStart w:id="447" w:name="_Toc35393631"/>
      <w:bookmarkStart w:id="448" w:name="_Toc25309"/>
      <w:bookmarkStart w:id="449" w:name="_Toc28359014"/>
      <w:bookmarkStart w:id="450" w:name="_Toc28359091"/>
      <w:bookmarkStart w:id="451" w:name="_Toc12886"/>
      <w:bookmarkStart w:id="452" w:name="_Toc20380"/>
      <w:bookmarkStart w:id="453" w:name="_Toc9829"/>
      <w:bookmarkStart w:id="454" w:name="_Toc35393800"/>
      <w:r>
        <w:rPr>
          <w:rFonts w:hint="eastAsia" w:ascii="宋体" w:hAnsi="宋体" w:eastAsia="宋体" w:cs="宋体"/>
          <w:sz w:val="24"/>
          <w:szCs w:val="24"/>
          <w:highlight w:val="none"/>
          <w:lang w:val="en-US" w:eastAsia="zh-CN"/>
        </w:rPr>
        <w:t>1.满足《中华人民共和国政府采购法》第二十二条规定；</w:t>
      </w:r>
    </w:p>
    <w:p w14:paraId="197FB03E">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outlineLvl w:val="2"/>
        <w:rPr>
          <w:rFonts w:hint="eastAsia" w:ascii="宋体" w:hAnsi="宋体" w:eastAsia="宋体" w:cs="宋体"/>
          <w:sz w:val="24"/>
          <w:szCs w:val="24"/>
          <w:highlight w:val="none"/>
          <w:lang w:val="en-US" w:eastAsia="zh-CN"/>
        </w:rPr>
      </w:pPr>
      <w:bookmarkStart w:id="455" w:name="_Toc28734"/>
      <w:bookmarkStart w:id="456" w:name="_Toc11260"/>
      <w:bookmarkStart w:id="457" w:name="_Toc307"/>
      <w:r>
        <w:rPr>
          <w:rFonts w:hint="eastAsia" w:ascii="宋体" w:hAnsi="宋体" w:eastAsia="宋体" w:cs="宋体"/>
          <w:sz w:val="24"/>
          <w:szCs w:val="24"/>
          <w:highlight w:val="none"/>
          <w:lang w:val="en-US" w:eastAsia="zh-CN"/>
        </w:rPr>
        <w:t>2.落实政府采购政策需满足的资格要求：</w:t>
      </w:r>
      <w:r>
        <w:rPr>
          <w:rFonts w:hint="eastAsia" w:ascii="宋体" w:hAnsi="宋体" w:eastAsia="宋体" w:cs="宋体"/>
          <w:position w:val="0"/>
          <w:sz w:val="24"/>
          <w:szCs w:val="24"/>
          <w:highlight w:val="none"/>
          <w:lang w:val="en-US" w:eastAsia="zh-CN"/>
        </w:rPr>
        <w:t>按照财政部、工业和信息化部关于印发《政府采购促进中小企业发展管理办法》的通知（财库〔2020〕46号）要求，本项目</w:t>
      </w:r>
      <w:r>
        <w:rPr>
          <w:rFonts w:hint="eastAsia" w:ascii="宋体" w:hAnsi="宋体" w:eastAsia="宋体" w:cs="宋体"/>
          <w:position w:val="0"/>
          <w:sz w:val="24"/>
          <w:szCs w:val="24"/>
          <w:highlight w:val="none"/>
          <w:u w:val="single"/>
          <w:lang w:val="en-US" w:eastAsia="zh-CN"/>
        </w:rPr>
        <w:t>专门面向中小企业采购，供应商必须出具《中小企业声明函》</w:t>
      </w:r>
      <w:r>
        <w:rPr>
          <w:rFonts w:hint="eastAsia" w:ascii="宋体" w:hAnsi="宋体" w:eastAsia="宋体" w:cs="宋体"/>
          <w:position w:val="0"/>
          <w:sz w:val="24"/>
          <w:szCs w:val="24"/>
          <w:highlight w:val="none"/>
          <w:lang w:val="en-US" w:eastAsia="zh-CN"/>
        </w:rPr>
        <w:t>；</w:t>
      </w:r>
      <w:bookmarkEnd w:id="455"/>
      <w:bookmarkEnd w:id="456"/>
      <w:bookmarkEnd w:id="457"/>
    </w:p>
    <w:p w14:paraId="64516F1F">
      <w:pPr>
        <w:keepNext w:val="0"/>
        <w:keepLines w:val="0"/>
        <w:pageBreakBefore w:val="0"/>
        <w:widowControl w:val="0"/>
        <w:kinsoku/>
        <w:overflowPunct/>
        <w:topLinePunct w:val="0"/>
        <w:autoSpaceDE/>
        <w:autoSpaceDN/>
        <w:bidi w:val="0"/>
        <w:adjustRightInd/>
        <w:snapToGrid/>
        <w:spacing w:line="312"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3.本项目的特定资格要求：</w:t>
      </w:r>
    </w:p>
    <w:p w14:paraId="7B8180F3">
      <w:pPr>
        <w:keepNext w:val="0"/>
        <w:keepLines w:val="0"/>
        <w:pageBreakBefore w:val="0"/>
        <w:widowControl w:val="0"/>
        <w:kinsoku/>
        <w:overflowPunct/>
        <w:topLinePunct w:val="0"/>
        <w:autoSpaceDE/>
        <w:autoSpaceDN/>
        <w:bidi w:val="0"/>
        <w:adjustRightInd/>
        <w:snapToGrid/>
        <w:spacing w:line="312" w:lineRule="auto"/>
        <w:ind w:firstLine="480" w:firstLineChars="200"/>
        <w:jc w:val="both"/>
        <w:textAlignment w:val="auto"/>
        <w:rPr>
          <w:rFonts w:hint="eastAsia" w:ascii="宋体" w:hAnsi="宋体" w:eastAsia="宋体" w:cs="宋体"/>
          <w:snapToGrid/>
          <w:color w:val="FF0000"/>
          <w:kern w:val="2"/>
          <w:sz w:val="24"/>
          <w:szCs w:val="24"/>
          <w:highlight w:val="none"/>
          <w:lang w:eastAsia="zh-CN"/>
        </w:rPr>
      </w:pPr>
      <w:r>
        <w:rPr>
          <w:rFonts w:hint="eastAsia" w:ascii="宋体" w:hAnsi="宋体" w:eastAsia="宋体" w:cs="宋体"/>
          <w:snapToGrid/>
          <w:color w:val="auto"/>
          <w:kern w:val="2"/>
          <w:sz w:val="24"/>
          <w:szCs w:val="24"/>
          <w:highlight w:val="none"/>
          <w:lang w:eastAsia="zh-CN"/>
        </w:rPr>
        <w:t>3.2</w:t>
      </w:r>
      <w:r>
        <w:rPr>
          <w:rFonts w:hint="eastAsia" w:ascii="宋体" w:hAnsi="宋体" w:eastAsia="宋体" w:cs="宋体"/>
          <w:snapToGrid/>
          <w:color w:val="auto"/>
          <w:kern w:val="2"/>
          <w:sz w:val="24"/>
          <w:szCs w:val="24"/>
          <w:highlight w:val="none"/>
          <w:lang w:val="en-US" w:eastAsia="zh-CN"/>
        </w:rPr>
        <w:t>.</w:t>
      </w:r>
      <w:r>
        <w:rPr>
          <w:rFonts w:hint="eastAsia" w:ascii="宋体" w:hAnsi="宋体" w:eastAsia="宋体" w:cs="宋体"/>
          <w:snapToGrid/>
          <w:color w:val="auto"/>
          <w:kern w:val="2"/>
          <w:sz w:val="24"/>
          <w:szCs w:val="24"/>
          <w:highlight w:val="none"/>
          <w:lang w:eastAsia="zh-CN"/>
        </w:rPr>
        <w:t>拟派项目负责人须具有高级工程师职称（工程相关专业）并具有注册一级建造师（建筑工程相关专业）或注册监理师（建筑工程相关专业）资格；并提供近三个月的社保证明；</w:t>
      </w:r>
      <w:r>
        <w:rPr>
          <w:rFonts w:hint="eastAsia" w:cs="宋体"/>
          <w:snapToGrid/>
          <w:color w:val="auto"/>
          <w:kern w:val="2"/>
          <w:sz w:val="24"/>
          <w:szCs w:val="24"/>
          <w:highlight w:val="none"/>
          <w:lang w:val="en-US" w:eastAsia="zh-CN"/>
        </w:rPr>
        <w:t>拟派</w:t>
      </w:r>
      <w:r>
        <w:rPr>
          <w:rFonts w:hint="eastAsia" w:ascii="宋体" w:hAnsi="宋体" w:eastAsia="宋体" w:cs="宋体"/>
          <w:color w:val="auto"/>
          <w:sz w:val="24"/>
          <w:szCs w:val="24"/>
          <w:highlight w:val="none"/>
        </w:rPr>
        <w:t>安全检查人员</w:t>
      </w:r>
      <w:r>
        <w:rPr>
          <w:rFonts w:hint="eastAsia" w:cs="宋体"/>
          <w:color w:val="auto"/>
          <w:sz w:val="24"/>
          <w:szCs w:val="24"/>
          <w:highlight w:val="none"/>
          <w:lang w:val="en-US" w:eastAsia="zh-CN"/>
        </w:rPr>
        <w:t>至少有一人</w:t>
      </w:r>
      <w:r>
        <w:rPr>
          <w:rFonts w:hint="eastAsia" w:ascii="宋体" w:hAnsi="宋体" w:eastAsia="宋体" w:cs="宋体"/>
          <w:color w:val="auto"/>
          <w:sz w:val="24"/>
          <w:szCs w:val="24"/>
          <w:highlight w:val="none"/>
        </w:rPr>
        <w:t>具有中级工程师及以上职称(工程相关专业)并具有注册一级建造师资格或注册监理师资格或注册安全工程师</w:t>
      </w:r>
      <w:r>
        <w:rPr>
          <w:rFonts w:hint="eastAsia" w:cs="宋体"/>
          <w:color w:val="auto"/>
          <w:sz w:val="24"/>
          <w:szCs w:val="24"/>
          <w:highlight w:val="none"/>
          <w:lang w:eastAsia="zh-CN"/>
        </w:rPr>
        <w:t>。</w:t>
      </w:r>
    </w:p>
    <w:p w14:paraId="089152AF">
      <w:pPr>
        <w:keepNext w:val="0"/>
        <w:keepLines w:val="0"/>
        <w:pageBreakBefore w:val="0"/>
        <w:widowControl w:val="0"/>
        <w:kinsoku/>
        <w:overflowPunct/>
        <w:topLinePunct w:val="0"/>
        <w:autoSpaceDE/>
        <w:autoSpaceDN/>
        <w:bidi w:val="0"/>
        <w:adjustRightInd/>
        <w:snapToGrid/>
        <w:spacing w:line="312" w:lineRule="auto"/>
        <w:ind w:firstLine="480" w:firstLineChars="200"/>
        <w:jc w:val="both"/>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eastAsia="zh-CN"/>
        </w:rPr>
        <w:t>3.</w:t>
      </w:r>
      <w:r>
        <w:rPr>
          <w:rFonts w:hint="eastAsia" w:ascii="宋体" w:hAnsi="宋体" w:eastAsia="宋体" w:cs="宋体"/>
          <w:snapToGrid/>
          <w:color w:val="auto"/>
          <w:kern w:val="2"/>
          <w:sz w:val="24"/>
          <w:szCs w:val="24"/>
          <w:highlight w:val="none"/>
          <w:lang w:val="en-US" w:eastAsia="zh-CN"/>
        </w:rPr>
        <w:t>3.</w:t>
      </w:r>
      <w:r>
        <w:rPr>
          <w:rFonts w:hint="eastAsia" w:ascii="宋体" w:hAnsi="宋体" w:eastAsia="宋体" w:cs="宋体"/>
          <w:snapToGrid/>
          <w:color w:val="auto"/>
          <w:kern w:val="2"/>
          <w:sz w:val="24"/>
          <w:szCs w:val="24"/>
          <w:highlight w:val="none"/>
          <w:lang w:eastAsia="zh-CN"/>
        </w:rPr>
        <w:t>参加政府采购活动前三年内，在经营活动中无重大违法记录；</w:t>
      </w:r>
    </w:p>
    <w:p w14:paraId="270B1DC2">
      <w:pPr>
        <w:keepNext w:val="0"/>
        <w:keepLines w:val="0"/>
        <w:pageBreakBefore w:val="0"/>
        <w:widowControl w:val="0"/>
        <w:kinsoku/>
        <w:overflowPunct/>
        <w:topLinePunct w:val="0"/>
        <w:autoSpaceDE/>
        <w:autoSpaceDN/>
        <w:bidi w:val="0"/>
        <w:adjustRightInd/>
        <w:snapToGrid/>
        <w:spacing w:line="312" w:lineRule="auto"/>
        <w:ind w:firstLine="480" w:firstLineChars="200"/>
        <w:jc w:val="both"/>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eastAsia="zh-CN"/>
        </w:rPr>
        <w:t>3.</w:t>
      </w:r>
      <w:r>
        <w:rPr>
          <w:rFonts w:hint="eastAsia" w:ascii="宋体" w:hAnsi="宋体" w:eastAsia="宋体" w:cs="宋体"/>
          <w:snapToGrid/>
          <w:color w:val="auto"/>
          <w:kern w:val="2"/>
          <w:sz w:val="24"/>
          <w:szCs w:val="24"/>
          <w:highlight w:val="none"/>
          <w:lang w:val="en-US" w:eastAsia="zh-CN"/>
        </w:rPr>
        <w:t>4.</w:t>
      </w:r>
      <w:r>
        <w:rPr>
          <w:rFonts w:hint="eastAsia" w:ascii="宋体" w:hAnsi="宋体" w:eastAsia="宋体" w:cs="宋体"/>
          <w:snapToGrid/>
          <w:color w:val="auto"/>
          <w:kern w:val="2"/>
          <w:sz w:val="24"/>
          <w:szCs w:val="24"/>
          <w:highlight w:val="none"/>
          <w:lang w:eastAsia="zh-CN"/>
        </w:rPr>
        <w:t>在“信用中国”</w:t>
      </w:r>
      <w:r>
        <w:rPr>
          <w:rFonts w:hint="eastAsia" w:ascii="宋体" w:hAnsi="宋体" w:eastAsia="宋体" w:cs="宋体"/>
          <w:snapToGrid/>
          <w:color w:val="auto"/>
          <w:kern w:val="2"/>
          <w:sz w:val="24"/>
          <w:szCs w:val="24"/>
          <w:highlight w:val="none"/>
          <w:lang w:eastAsia="zh-CN"/>
        </w:rPr>
        <w:fldChar w:fldCharType="begin"/>
      </w:r>
      <w:r>
        <w:rPr>
          <w:rFonts w:hint="eastAsia" w:ascii="宋体" w:hAnsi="宋体" w:eastAsia="宋体" w:cs="宋体"/>
          <w:snapToGrid/>
          <w:color w:val="auto"/>
          <w:kern w:val="2"/>
          <w:sz w:val="24"/>
          <w:szCs w:val="24"/>
          <w:highlight w:val="none"/>
          <w:lang w:eastAsia="zh-CN"/>
        </w:rPr>
        <w:instrText xml:space="preserve"> HYPERLINK "http://www.creditchina.gov.cn/" </w:instrText>
      </w:r>
      <w:r>
        <w:rPr>
          <w:rFonts w:hint="eastAsia" w:ascii="宋体" w:hAnsi="宋体" w:eastAsia="宋体" w:cs="宋体"/>
          <w:snapToGrid/>
          <w:color w:val="auto"/>
          <w:kern w:val="2"/>
          <w:sz w:val="24"/>
          <w:szCs w:val="24"/>
          <w:highlight w:val="none"/>
          <w:lang w:eastAsia="zh-CN"/>
        </w:rPr>
        <w:fldChar w:fldCharType="separate"/>
      </w:r>
      <w:r>
        <w:rPr>
          <w:rFonts w:hint="eastAsia" w:ascii="宋体" w:hAnsi="宋体" w:eastAsia="宋体" w:cs="宋体"/>
          <w:snapToGrid/>
          <w:color w:val="auto"/>
          <w:kern w:val="2"/>
          <w:sz w:val="24"/>
          <w:szCs w:val="24"/>
          <w:highlight w:val="none"/>
          <w:lang w:eastAsia="zh-CN"/>
        </w:rPr>
        <w:t>(www.creditchina.gov.cn)</w:t>
      </w:r>
      <w:r>
        <w:rPr>
          <w:rFonts w:hint="eastAsia" w:ascii="宋体" w:hAnsi="宋体" w:eastAsia="宋体" w:cs="宋体"/>
          <w:snapToGrid/>
          <w:color w:val="auto"/>
          <w:kern w:val="2"/>
          <w:sz w:val="24"/>
          <w:szCs w:val="24"/>
          <w:highlight w:val="none"/>
          <w:lang w:eastAsia="zh-CN"/>
        </w:rPr>
        <w:fldChar w:fldCharType="end"/>
      </w:r>
      <w:r>
        <w:rPr>
          <w:rFonts w:hint="eastAsia" w:ascii="宋体" w:hAnsi="宋体" w:eastAsia="宋体" w:cs="宋体"/>
          <w:snapToGrid/>
          <w:color w:val="auto"/>
          <w:kern w:val="2"/>
          <w:sz w:val="24"/>
          <w:szCs w:val="24"/>
          <w:highlight w:val="none"/>
          <w:lang w:eastAsia="zh-CN"/>
        </w:rPr>
        <w:t xml:space="preserve">、中国政府采购网 </w:t>
      </w:r>
      <w:r>
        <w:rPr>
          <w:rFonts w:hint="eastAsia" w:ascii="宋体" w:hAnsi="宋体" w:eastAsia="宋体" w:cs="宋体"/>
          <w:snapToGrid/>
          <w:color w:val="auto"/>
          <w:kern w:val="2"/>
          <w:sz w:val="24"/>
          <w:szCs w:val="24"/>
          <w:highlight w:val="none"/>
          <w:lang w:eastAsia="zh-CN"/>
        </w:rPr>
        <w:fldChar w:fldCharType="begin"/>
      </w:r>
      <w:r>
        <w:rPr>
          <w:rFonts w:hint="eastAsia" w:ascii="宋体" w:hAnsi="宋体" w:eastAsia="宋体" w:cs="宋体"/>
          <w:snapToGrid/>
          <w:color w:val="auto"/>
          <w:kern w:val="2"/>
          <w:sz w:val="24"/>
          <w:szCs w:val="24"/>
          <w:highlight w:val="none"/>
          <w:lang w:eastAsia="zh-CN"/>
        </w:rPr>
        <w:instrText xml:space="preserve"> HYPERLINK "http://www.ccgp.gov.cn/" </w:instrText>
      </w:r>
      <w:r>
        <w:rPr>
          <w:rFonts w:hint="eastAsia" w:ascii="宋体" w:hAnsi="宋体" w:eastAsia="宋体" w:cs="宋体"/>
          <w:snapToGrid/>
          <w:color w:val="auto"/>
          <w:kern w:val="2"/>
          <w:sz w:val="24"/>
          <w:szCs w:val="24"/>
          <w:highlight w:val="none"/>
          <w:lang w:eastAsia="zh-CN"/>
        </w:rPr>
        <w:fldChar w:fldCharType="separate"/>
      </w:r>
      <w:r>
        <w:rPr>
          <w:rFonts w:hint="eastAsia" w:ascii="宋体" w:hAnsi="宋体" w:eastAsia="宋体" w:cs="宋体"/>
          <w:snapToGrid/>
          <w:color w:val="auto"/>
          <w:kern w:val="2"/>
          <w:sz w:val="24"/>
          <w:szCs w:val="24"/>
          <w:highlight w:val="none"/>
          <w:lang w:eastAsia="zh-CN"/>
        </w:rPr>
        <w:t>(www.ccgp.gov.cn)</w:t>
      </w:r>
      <w:r>
        <w:rPr>
          <w:rFonts w:hint="eastAsia" w:ascii="宋体" w:hAnsi="宋体" w:eastAsia="宋体" w:cs="宋体"/>
          <w:snapToGrid/>
          <w:color w:val="auto"/>
          <w:kern w:val="2"/>
          <w:sz w:val="24"/>
          <w:szCs w:val="24"/>
          <w:highlight w:val="none"/>
          <w:lang w:eastAsia="zh-CN"/>
        </w:rPr>
        <w:fldChar w:fldCharType="end"/>
      </w:r>
      <w:r>
        <w:rPr>
          <w:rFonts w:hint="eastAsia" w:ascii="宋体" w:hAnsi="宋体" w:eastAsia="宋体" w:cs="宋体"/>
          <w:snapToGrid/>
          <w:color w:val="auto"/>
          <w:kern w:val="2"/>
          <w:sz w:val="24"/>
          <w:szCs w:val="24"/>
          <w:highlight w:val="none"/>
          <w:lang w:eastAsia="zh-CN"/>
        </w:rPr>
        <w:t>网站中未被列入失信被执行人、重大税收违法案件当事人名单、政府采购严重违法失信行为记录名单的供应商；</w:t>
      </w:r>
    </w:p>
    <w:p w14:paraId="005F4EC1">
      <w:pPr>
        <w:keepNext w:val="0"/>
        <w:keepLines w:val="0"/>
        <w:pageBreakBefore w:val="0"/>
        <w:widowControl w:val="0"/>
        <w:kinsoku/>
        <w:overflowPunct/>
        <w:topLinePunct w:val="0"/>
        <w:autoSpaceDE/>
        <w:autoSpaceDN/>
        <w:bidi w:val="0"/>
        <w:adjustRightInd/>
        <w:snapToGrid/>
        <w:spacing w:line="312" w:lineRule="auto"/>
        <w:ind w:firstLine="480" w:firstLineChars="200"/>
        <w:jc w:val="both"/>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eastAsia="zh-CN"/>
        </w:rPr>
        <w:t>3.</w:t>
      </w:r>
      <w:r>
        <w:rPr>
          <w:rFonts w:hint="eastAsia" w:ascii="宋体" w:hAnsi="宋体" w:eastAsia="宋体" w:cs="宋体"/>
          <w:snapToGrid/>
          <w:color w:val="auto"/>
          <w:kern w:val="2"/>
          <w:sz w:val="24"/>
          <w:szCs w:val="24"/>
          <w:highlight w:val="none"/>
          <w:lang w:val="en-US" w:eastAsia="zh-CN"/>
        </w:rPr>
        <w:t>5.</w:t>
      </w:r>
      <w:r>
        <w:rPr>
          <w:rFonts w:hint="eastAsia" w:ascii="宋体" w:hAnsi="宋体" w:eastAsia="宋体" w:cs="宋体"/>
          <w:snapToGrid/>
          <w:color w:val="auto"/>
          <w:kern w:val="2"/>
          <w:sz w:val="24"/>
          <w:szCs w:val="24"/>
          <w:highlight w:val="none"/>
          <w:lang w:eastAsia="zh-CN"/>
        </w:rPr>
        <w:t>资格审查方式：资格后审；</w:t>
      </w:r>
    </w:p>
    <w:p w14:paraId="302A4C2E">
      <w:pPr>
        <w:keepNext w:val="0"/>
        <w:keepLines w:val="0"/>
        <w:pageBreakBefore w:val="0"/>
        <w:widowControl w:val="0"/>
        <w:kinsoku/>
        <w:overflowPunct/>
        <w:topLinePunct w:val="0"/>
        <w:autoSpaceDE/>
        <w:autoSpaceDN/>
        <w:bidi w:val="0"/>
        <w:adjustRightInd/>
        <w:snapToGrid/>
        <w:spacing w:line="312" w:lineRule="auto"/>
        <w:ind w:firstLine="480" w:firstLineChars="200"/>
        <w:jc w:val="both"/>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eastAsia="zh-CN"/>
        </w:rPr>
        <w:t>3.</w:t>
      </w:r>
      <w:r>
        <w:rPr>
          <w:rFonts w:hint="eastAsia" w:ascii="宋体" w:hAnsi="宋体" w:eastAsia="宋体" w:cs="宋体"/>
          <w:snapToGrid/>
          <w:color w:val="auto"/>
          <w:kern w:val="2"/>
          <w:sz w:val="24"/>
          <w:szCs w:val="24"/>
          <w:highlight w:val="none"/>
          <w:lang w:val="en-US" w:eastAsia="zh-CN"/>
        </w:rPr>
        <w:t>6.</w:t>
      </w:r>
      <w:r>
        <w:rPr>
          <w:rFonts w:hint="eastAsia" w:ascii="宋体" w:hAnsi="宋体" w:eastAsia="宋体" w:cs="宋体"/>
          <w:snapToGrid/>
          <w:color w:val="auto"/>
          <w:kern w:val="2"/>
          <w:sz w:val="24"/>
          <w:szCs w:val="24"/>
          <w:highlight w:val="none"/>
          <w:lang w:eastAsia="zh-CN"/>
        </w:rPr>
        <w:t>本项目兼投不兼中。</w:t>
      </w:r>
    </w:p>
    <w:p w14:paraId="5F999A4B">
      <w:pPr>
        <w:keepNext w:val="0"/>
        <w:keepLines w:val="0"/>
        <w:pageBreakBefore w:val="0"/>
        <w:widowControl w:val="0"/>
        <w:kinsoku/>
        <w:wordWrap w:val="0"/>
        <w:overflowPunct/>
        <w:topLinePunct w:val="0"/>
        <w:autoSpaceDE/>
        <w:autoSpaceDN/>
        <w:bidi w:val="0"/>
        <w:adjustRightInd/>
        <w:snapToGrid/>
        <w:spacing w:line="312" w:lineRule="auto"/>
        <w:textAlignment w:val="auto"/>
        <w:outlineLvl w:val="1"/>
        <w:rPr>
          <w:rFonts w:hint="eastAsia" w:ascii="宋体" w:hAnsi="宋体" w:eastAsia="宋体" w:cs="宋体"/>
          <w:b/>
          <w:bCs/>
          <w:sz w:val="24"/>
          <w:szCs w:val="24"/>
          <w:highlight w:val="none"/>
        </w:rPr>
      </w:pPr>
      <w:bookmarkStart w:id="458" w:name="_Toc15298"/>
      <w:bookmarkStart w:id="459" w:name="_Toc16603"/>
      <w:bookmarkStart w:id="460" w:name="_Toc17851"/>
      <w:bookmarkStart w:id="461" w:name="_Toc26878"/>
      <w:bookmarkStart w:id="462" w:name="_Toc10439"/>
      <w:bookmarkStart w:id="463" w:name="_Toc11273"/>
      <w:r>
        <w:rPr>
          <w:rFonts w:hint="eastAsia" w:ascii="宋体" w:hAnsi="宋体" w:eastAsia="宋体" w:cs="宋体"/>
          <w:b/>
          <w:bCs/>
          <w:sz w:val="24"/>
          <w:szCs w:val="24"/>
          <w:highlight w:val="none"/>
        </w:rPr>
        <w:t>三、获取</w:t>
      </w:r>
      <w:bookmarkEnd w:id="447"/>
      <w:bookmarkEnd w:id="448"/>
      <w:bookmarkEnd w:id="449"/>
      <w:bookmarkEnd w:id="450"/>
      <w:bookmarkEnd w:id="451"/>
      <w:bookmarkEnd w:id="452"/>
      <w:bookmarkEnd w:id="453"/>
      <w:bookmarkEnd w:id="454"/>
      <w:bookmarkEnd w:id="458"/>
      <w:bookmarkEnd w:id="459"/>
      <w:bookmarkEnd w:id="460"/>
      <w:bookmarkEnd w:id="461"/>
      <w:bookmarkEnd w:id="462"/>
      <w:r>
        <w:rPr>
          <w:rFonts w:hint="eastAsia" w:ascii="宋体" w:hAnsi="宋体" w:eastAsia="宋体" w:cs="宋体"/>
          <w:b/>
          <w:bCs/>
          <w:sz w:val="24"/>
          <w:szCs w:val="24"/>
          <w:highlight w:val="none"/>
        </w:rPr>
        <w:t>竞争性磋商文件</w:t>
      </w:r>
      <w:bookmarkEnd w:id="463"/>
    </w:p>
    <w:p w14:paraId="1B58EC9C">
      <w:pPr>
        <w:keepNext w:val="0"/>
        <w:keepLines w:val="0"/>
        <w:pageBreakBefore w:val="0"/>
        <w:widowControl w:val="0"/>
        <w:kinsoku/>
        <w:overflowPunct/>
        <w:topLinePunct w:val="0"/>
        <w:autoSpaceDE/>
        <w:autoSpaceDN/>
        <w:bidi w:val="0"/>
        <w:adjustRightInd/>
        <w:snapToGrid/>
        <w:spacing w:line="312" w:lineRule="auto"/>
        <w:ind w:firstLine="482"/>
        <w:textAlignment w:val="auto"/>
        <w:rPr>
          <w:rFonts w:hint="eastAsia" w:ascii="宋体" w:hAnsi="宋体" w:eastAsia="宋体" w:cs="宋体"/>
          <w:sz w:val="24"/>
          <w:szCs w:val="24"/>
          <w:highlight w:val="none"/>
          <w:lang w:val="zh-CN"/>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lang w:val="zh-CN"/>
        </w:rPr>
        <w:t>时间：</w:t>
      </w:r>
      <w:r>
        <w:rPr>
          <w:rFonts w:hint="eastAsia" w:ascii="宋体" w:hAnsi="宋体" w:eastAsia="宋体" w:cs="宋体"/>
          <w:sz w:val="24"/>
          <w:szCs w:val="24"/>
          <w:highlight w:val="none"/>
          <w:lang w:eastAsia="zh-CN"/>
        </w:rPr>
        <w:t>202</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val="zh-CN"/>
        </w:rPr>
        <w:t>年</w:t>
      </w:r>
      <w:r>
        <w:rPr>
          <w:rFonts w:hint="eastAsia" w:cs="宋体"/>
          <w:sz w:val="24"/>
          <w:szCs w:val="24"/>
          <w:highlight w:val="none"/>
          <w:lang w:val="en-US" w:eastAsia="zh-CN"/>
        </w:rPr>
        <w:t>10</w:t>
      </w:r>
      <w:r>
        <w:rPr>
          <w:rFonts w:hint="eastAsia" w:ascii="宋体" w:hAnsi="宋体" w:eastAsia="宋体" w:cs="宋体"/>
          <w:sz w:val="24"/>
          <w:szCs w:val="24"/>
          <w:highlight w:val="none"/>
          <w:lang w:val="zh-CN"/>
        </w:rPr>
        <w:t>月</w:t>
      </w:r>
      <w:r>
        <w:rPr>
          <w:rFonts w:hint="eastAsia" w:cs="宋体"/>
          <w:sz w:val="24"/>
          <w:szCs w:val="24"/>
          <w:highlight w:val="none"/>
          <w:lang w:val="en-US" w:eastAsia="zh-CN"/>
        </w:rPr>
        <w:t>22</w:t>
      </w:r>
      <w:r>
        <w:rPr>
          <w:rFonts w:hint="eastAsia" w:ascii="宋体" w:hAnsi="宋体" w:eastAsia="宋体" w:cs="宋体"/>
          <w:sz w:val="24"/>
          <w:szCs w:val="24"/>
          <w:highlight w:val="none"/>
          <w:lang w:val="zh-CN"/>
        </w:rPr>
        <w:t>日至</w:t>
      </w:r>
      <w:r>
        <w:rPr>
          <w:rFonts w:hint="eastAsia" w:ascii="宋体" w:hAnsi="宋体" w:eastAsia="宋体" w:cs="宋体"/>
          <w:sz w:val="24"/>
          <w:szCs w:val="24"/>
          <w:highlight w:val="none"/>
          <w:lang w:eastAsia="zh-CN"/>
        </w:rPr>
        <w:t>202</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val="zh-CN"/>
        </w:rPr>
        <w:t>年</w:t>
      </w:r>
      <w:r>
        <w:rPr>
          <w:rFonts w:hint="eastAsia" w:cs="宋体"/>
          <w:sz w:val="24"/>
          <w:szCs w:val="24"/>
          <w:highlight w:val="none"/>
          <w:lang w:val="en-US" w:eastAsia="zh-CN"/>
        </w:rPr>
        <w:t>10</w:t>
      </w:r>
      <w:r>
        <w:rPr>
          <w:rFonts w:hint="eastAsia" w:ascii="宋体" w:hAnsi="宋体" w:eastAsia="宋体" w:cs="宋体"/>
          <w:sz w:val="24"/>
          <w:szCs w:val="24"/>
          <w:highlight w:val="none"/>
          <w:lang w:val="zh-CN"/>
        </w:rPr>
        <w:t>月</w:t>
      </w:r>
      <w:r>
        <w:rPr>
          <w:rFonts w:hint="eastAsia" w:cs="宋体"/>
          <w:sz w:val="24"/>
          <w:szCs w:val="24"/>
          <w:highlight w:val="none"/>
          <w:lang w:val="en-US" w:eastAsia="zh-CN"/>
        </w:rPr>
        <w:t>28</w:t>
      </w:r>
      <w:r>
        <w:rPr>
          <w:rFonts w:hint="eastAsia" w:ascii="宋体" w:hAnsi="宋体" w:eastAsia="宋体" w:cs="宋体"/>
          <w:sz w:val="24"/>
          <w:szCs w:val="24"/>
          <w:highlight w:val="none"/>
          <w:lang w:val="zh-CN"/>
        </w:rPr>
        <w:t>日（提供期限自本公告发布之日起不得少于5个工作日），每天0</w:t>
      </w:r>
      <w:r>
        <w:rPr>
          <w:rFonts w:hint="eastAsia" w:ascii="宋体" w:hAnsi="宋体" w:eastAsia="宋体" w:cs="宋体"/>
          <w:sz w:val="24"/>
          <w:szCs w:val="24"/>
          <w:highlight w:val="none"/>
        </w:rPr>
        <w:t>8:3</w:t>
      </w:r>
      <w:r>
        <w:rPr>
          <w:rFonts w:hint="eastAsia" w:ascii="宋体" w:hAnsi="宋体" w:eastAsia="宋体" w:cs="宋体"/>
          <w:sz w:val="24"/>
          <w:szCs w:val="24"/>
          <w:highlight w:val="none"/>
          <w:lang w:val="zh-CN"/>
        </w:rPr>
        <w:t>0</w:t>
      </w:r>
      <w:r>
        <w:rPr>
          <w:rFonts w:hint="eastAsia" w:cs="宋体"/>
          <w:sz w:val="24"/>
          <w:szCs w:val="24"/>
          <w:highlight w:val="none"/>
          <w:lang w:val="en-US" w:eastAsia="zh-CN"/>
        </w:rPr>
        <w:t>时</w:t>
      </w: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0</w:t>
      </w:r>
      <w:r>
        <w:rPr>
          <w:rFonts w:hint="eastAsia" w:cs="宋体"/>
          <w:sz w:val="24"/>
          <w:szCs w:val="24"/>
          <w:highlight w:val="none"/>
          <w:lang w:val="en-US" w:eastAsia="zh-CN"/>
        </w:rPr>
        <w:t>时</w:t>
      </w:r>
      <w:r>
        <w:rPr>
          <w:rFonts w:hint="eastAsia" w:ascii="宋体" w:hAnsi="宋体" w:eastAsia="宋体" w:cs="宋体"/>
          <w:sz w:val="24"/>
          <w:szCs w:val="24"/>
          <w:highlight w:val="none"/>
          <w:lang w:val="zh-CN"/>
        </w:rPr>
        <w:t>至</w:t>
      </w:r>
      <w:r>
        <w:rPr>
          <w:rFonts w:hint="eastAsia" w:ascii="宋体" w:hAnsi="宋体" w:eastAsia="宋体" w:cs="宋体"/>
          <w:sz w:val="24"/>
          <w:szCs w:val="24"/>
          <w:highlight w:val="none"/>
        </w:rPr>
        <w:t>14:00</w:t>
      </w:r>
      <w:r>
        <w:rPr>
          <w:rFonts w:hint="eastAsia" w:cs="宋体"/>
          <w:sz w:val="24"/>
          <w:szCs w:val="24"/>
          <w:highlight w:val="none"/>
          <w:lang w:val="en-US" w:eastAsia="zh-CN"/>
        </w:rPr>
        <w:t>时</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zh-CN"/>
        </w:rPr>
        <w:t>17</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lang w:val="zh-CN"/>
        </w:rPr>
        <w:t>0</w:t>
      </w:r>
      <w:r>
        <w:rPr>
          <w:rFonts w:hint="eastAsia" w:cs="宋体"/>
          <w:sz w:val="24"/>
          <w:szCs w:val="24"/>
          <w:highlight w:val="none"/>
          <w:lang w:val="en-US" w:eastAsia="zh-CN"/>
        </w:rPr>
        <w:t>时</w:t>
      </w:r>
      <w:r>
        <w:rPr>
          <w:rFonts w:hint="eastAsia" w:ascii="宋体" w:hAnsi="宋体" w:eastAsia="宋体" w:cs="宋体"/>
          <w:sz w:val="24"/>
          <w:szCs w:val="24"/>
          <w:highlight w:val="none"/>
          <w:lang w:val="zh-CN"/>
        </w:rPr>
        <w:t>（北京时间，法定节假日除外）</w:t>
      </w:r>
    </w:p>
    <w:p w14:paraId="0BFDF648">
      <w:pPr>
        <w:keepNext w:val="0"/>
        <w:keepLines w:val="0"/>
        <w:pageBreakBefore w:val="0"/>
        <w:widowControl w:val="0"/>
        <w:kinsoku/>
        <w:overflowPunct/>
        <w:topLinePunct w:val="0"/>
        <w:autoSpaceDE/>
        <w:autoSpaceDN/>
        <w:bidi w:val="0"/>
        <w:adjustRightInd/>
        <w:snapToGrid/>
        <w:spacing w:line="312" w:lineRule="auto"/>
        <w:ind w:firstLine="482"/>
        <w:textAlignment w:val="auto"/>
        <w:rPr>
          <w:rFonts w:hint="eastAsia" w:ascii="宋体" w:hAnsi="宋体" w:eastAsia="宋体" w:cs="宋体"/>
          <w:sz w:val="24"/>
          <w:szCs w:val="24"/>
          <w:highlight w:val="none"/>
          <w:lang w:val="zh-CN"/>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lang w:val="zh-CN"/>
        </w:rPr>
        <w:t>地点：请登录</w:t>
      </w:r>
      <w:r>
        <w:rPr>
          <w:rFonts w:hint="eastAsia" w:ascii="宋体" w:hAnsi="宋体" w:eastAsia="宋体" w:cs="宋体"/>
          <w:sz w:val="24"/>
          <w:szCs w:val="24"/>
          <w:highlight w:val="none"/>
        </w:rPr>
        <w:t>鲁采采电子招投标交易平台（网址：https://www.lucaicai.com）</w:t>
      </w:r>
      <w:r>
        <w:rPr>
          <w:rFonts w:hint="eastAsia" w:ascii="宋体" w:hAnsi="宋体" w:eastAsia="宋体" w:cs="宋体"/>
          <w:sz w:val="24"/>
          <w:szCs w:val="24"/>
          <w:highlight w:val="none"/>
          <w:lang w:val="zh-CN"/>
        </w:rPr>
        <w:t>下载。</w:t>
      </w:r>
    </w:p>
    <w:p w14:paraId="79B2DDFA">
      <w:pPr>
        <w:keepNext w:val="0"/>
        <w:keepLines w:val="0"/>
        <w:pageBreakBefore w:val="0"/>
        <w:widowControl w:val="0"/>
        <w:kinsoku/>
        <w:wordWrap w:val="0"/>
        <w:overflowPunct/>
        <w:topLinePunct w:val="0"/>
        <w:autoSpaceDE/>
        <w:autoSpaceDN/>
        <w:bidi w:val="0"/>
        <w:adjustRightInd/>
        <w:snapToGrid/>
        <w:spacing w:line="312"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方式：</w:t>
      </w:r>
      <w:r>
        <w:rPr>
          <w:rFonts w:hint="eastAsia" w:ascii="宋体" w:hAnsi="宋体" w:eastAsia="宋体" w:cs="宋体"/>
          <w:sz w:val="24"/>
          <w:szCs w:val="24"/>
          <w:highlight w:val="none"/>
          <w:lang w:val="zh-CN"/>
        </w:rPr>
        <w:t>供应商需按以下方式获取</w:t>
      </w:r>
      <w:r>
        <w:rPr>
          <w:rFonts w:hint="eastAsia" w:ascii="宋体" w:hAnsi="宋体" w:eastAsia="宋体" w:cs="宋体"/>
          <w:sz w:val="24"/>
          <w:szCs w:val="24"/>
          <w:highlight w:val="none"/>
          <w:lang w:val="en-US" w:eastAsia="zh-CN"/>
        </w:rPr>
        <w:t>竞争性磋商</w:t>
      </w:r>
      <w:r>
        <w:rPr>
          <w:rFonts w:hint="eastAsia" w:ascii="宋体" w:hAnsi="宋体" w:eastAsia="宋体" w:cs="宋体"/>
          <w:sz w:val="24"/>
          <w:szCs w:val="24"/>
          <w:highlight w:val="none"/>
          <w:lang w:val="zh-CN"/>
        </w:rPr>
        <w:t>文件，否则</w:t>
      </w:r>
      <w:r>
        <w:rPr>
          <w:rFonts w:hint="eastAsia" w:ascii="宋体" w:hAnsi="宋体" w:eastAsia="宋体" w:cs="宋体"/>
          <w:sz w:val="24"/>
          <w:szCs w:val="24"/>
          <w:highlight w:val="none"/>
          <w:lang w:val="en-US" w:eastAsia="zh-CN"/>
        </w:rPr>
        <w:t>报价</w:t>
      </w:r>
      <w:r>
        <w:rPr>
          <w:rFonts w:hint="eastAsia" w:ascii="宋体" w:hAnsi="宋体" w:eastAsia="宋体" w:cs="宋体"/>
          <w:sz w:val="24"/>
          <w:szCs w:val="24"/>
          <w:highlight w:val="none"/>
          <w:lang w:val="zh-CN"/>
        </w:rPr>
        <w:t>将被拒绝。在</w:t>
      </w:r>
      <w:r>
        <w:rPr>
          <w:rFonts w:hint="eastAsia" w:ascii="宋体" w:hAnsi="宋体" w:eastAsia="宋体" w:cs="宋体"/>
          <w:sz w:val="24"/>
          <w:szCs w:val="24"/>
          <w:highlight w:val="none"/>
          <w:lang w:val="en-US" w:eastAsia="zh-CN"/>
        </w:rPr>
        <w:t>竞争性磋商文件</w:t>
      </w:r>
      <w:r>
        <w:rPr>
          <w:rFonts w:hint="eastAsia" w:ascii="宋体" w:hAnsi="宋体" w:eastAsia="宋体" w:cs="宋体"/>
          <w:sz w:val="24"/>
          <w:szCs w:val="24"/>
          <w:highlight w:val="none"/>
          <w:lang w:val="zh-CN"/>
        </w:rPr>
        <w:t>获取时间内，登录</w:t>
      </w:r>
      <w:r>
        <w:rPr>
          <w:rFonts w:hint="eastAsia" w:ascii="宋体" w:hAnsi="宋体" w:eastAsia="宋体" w:cs="宋体"/>
          <w:sz w:val="24"/>
          <w:szCs w:val="24"/>
          <w:highlight w:val="none"/>
        </w:rPr>
        <w:t>鲁采采电子招投标交易平台</w:t>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"https://www.lucaicai.com）登记并免费下载招标文件（包含电子数据文件和PDF文件）。"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lang w:val="zh-CN" w:eastAsia="en-US"/>
        </w:rPr>
        <w:t>登记并</w:t>
      </w:r>
      <w:r>
        <w:rPr>
          <w:rFonts w:hint="eastAsia" w:ascii="宋体" w:hAnsi="宋体" w:eastAsia="宋体" w:cs="宋体"/>
          <w:sz w:val="24"/>
          <w:szCs w:val="24"/>
          <w:highlight w:val="none"/>
          <w:lang w:val="zh-CN"/>
        </w:rPr>
        <w:t>免费下载招标文件（包含电子数据文件和PDF文件）。</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t>本项目还需在获取竞争性磋商文件时间前在</w:t>
      </w:r>
      <w:r>
        <w:rPr>
          <w:rFonts w:hint="eastAsia" w:ascii="宋体" w:hAnsi="宋体" w:eastAsia="宋体" w:cs="宋体"/>
          <w:sz w:val="24"/>
          <w:szCs w:val="24"/>
          <w:highlight w:val="none"/>
          <w:lang w:eastAsia="zh-CN"/>
        </w:rPr>
        <w:t>鲁采采电子招投标交易平台</w:t>
      </w:r>
      <w:r>
        <w:rPr>
          <w:rFonts w:hint="eastAsia" w:ascii="宋体" w:hAnsi="宋体" w:eastAsia="宋体" w:cs="宋体"/>
          <w:sz w:val="24"/>
          <w:szCs w:val="24"/>
          <w:highlight w:val="none"/>
        </w:rPr>
        <w:t>，办理信息注册后下载电子竞争性磋商文件，技术支持：（17205305555）。</w:t>
      </w:r>
    </w:p>
    <w:p w14:paraId="5DFAC8DD">
      <w:pPr>
        <w:keepNext w:val="0"/>
        <w:keepLines w:val="0"/>
        <w:pageBreakBefore w:val="0"/>
        <w:widowControl w:val="0"/>
        <w:kinsoku/>
        <w:wordWrap w:val="0"/>
        <w:overflowPunct/>
        <w:topLinePunct w:val="0"/>
        <w:autoSpaceDE/>
        <w:autoSpaceDN/>
        <w:bidi w:val="0"/>
        <w:adjustRightInd/>
        <w:snapToGrid/>
        <w:spacing w:line="312"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售价：0元</w:t>
      </w:r>
    </w:p>
    <w:p w14:paraId="78F8A8AA">
      <w:pPr>
        <w:keepNext w:val="0"/>
        <w:keepLines w:val="0"/>
        <w:pageBreakBefore w:val="0"/>
        <w:widowControl w:val="0"/>
        <w:kinsoku/>
        <w:wordWrap w:val="0"/>
        <w:overflowPunct/>
        <w:topLinePunct w:val="0"/>
        <w:autoSpaceDE/>
        <w:autoSpaceDN/>
        <w:bidi w:val="0"/>
        <w:adjustRightInd/>
        <w:snapToGrid/>
        <w:spacing w:line="312" w:lineRule="auto"/>
        <w:textAlignment w:val="auto"/>
        <w:outlineLvl w:val="1"/>
        <w:rPr>
          <w:rFonts w:hint="eastAsia" w:ascii="宋体" w:hAnsi="宋体" w:eastAsia="宋体" w:cs="宋体"/>
          <w:b/>
          <w:bCs/>
          <w:sz w:val="24"/>
          <w:szCs w:val="24"/>
          <w:highlight w:val="none"/>
        </w:rPr>
      </w:pPr>
      <w:bookmarkStart w:id="464" w:name="_Toc16060"/>
      <w:bookmarkStart w:id="465" w:name="_Toc35393801"/>
      <w:bookmarkStart w:id="466" w:name="_Toc17186"/>
      <w:bookmarkStart w:id="467" w:name="_Toc28359015"/>
      <w:bookmarkStart w:id="468" w:name="_Toc35393632"/>
      <w:bookmarkStart w:id="469" w:name="_Toc14555"/>
      <w:bookmarkStart w:id="470" w:name="_Toc25595"/>
      <w:bookmarkStart w:id="471" w:name="_Toc18530"/>
      <w:bookmarkStart w:id="472" w:name="_Toc28359092"/>
      <w:bookmarkStart w:id="473" w:name="_Toc17471"/>
      <w:bookmarkStart w:id="474" w:name="_Toc18022"/>
      <w:bookmarkStart w:id="475" w:name="_Toc1548"/>
      <w:bookmarkStart w:id="476" w:name="_Toc29666"/>
      <w:bookmarkStart w:id="477" w:name="_Toc4219"/>
      <w:r>
        <w:rPr>
          <w:rFonts w:hint="eastAsia" w:ascii="宋体" w:hAnsi="宋体" w:eastAsia="宋体" w:cs="宋体"/>
          <w:b/>
          <w:bCs/>
          <w:sz w:val="24"/>
          <w:szCs w:val="24"/>
          <w:highlight w:val="none"/>
        </w:rPr>
        <w:t>四、响应文件提交</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14:paraId="766B6E8D">
      <w:pPr>
        <w:keepNext w:val="0"/>
        <w:keepLines w:val="0"/>
        <w:pageBreakBefore w:val="0"/>
        <w:widowControl w:val="0"/>
        <w:kinsoku/>
        <w:wordWrap w:val="0"/>
        <w:overflowPunct/>
        <w:topLinePunct w:val="0"/>
        <w:autoSpaceDE/>
        <w:autoSpaceDN/>
        <w:bidi w:val="0"/>
        <w:adjustRightInd/>
        <w:snapToGrid/>
        <w:spacing w:line="312"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截止时间：2025年</w:t>
      </w:r>
      <w:r>
        <w:rPr>
          <w:rFonts w:hint="eastAsia" w:cs="宋体"/>
          <w:sz w:val="24"/>
          <w:szCs w:val="24"/>
          <w:highlight w:val="none"/>
          <w:lang w:val="en-US" w:eastAsia="zh-CN"/>
        </w:rPr>
        <w:t>11</w:t>
      </w:r>
      <w:r>
        <w:rPr>
          <w:rFonts w:hint="eastAsia" w:ascii="宋体" w:hAnsi="宋体" w:eastAsia="宋体" w:cs="宋体"/>
          <w:sz w:val="24"/>
          <w:szCs w:val="24"/>
          <w:highlight w:val="none"/>
        </w:rPr>
        <w:t>月</w:t>
      </w:r>
      <w:r>
        <w:rPr>
          <w:rFonts w:hint="eastAsia" w:cs="宋体"/>
          <w:sz w:val="24"/>
          <w:szCs w:val="24"/>
          <w:highlight w:val="none"/>
          <w:lang w:val="en-US" w:eastAsia="zh-CN"/>
        </w:rPr>
        <w:t>04</w:t>
      </w:r>
      <w:r>
        <w:rPr>
          <w:rFonts w:hint="eastAsia" w:ascii="宋体" w:hAnsi="宋体" w:eastAsia="宋体" w:cs="宋体"/>
          <w:sz w:val="24"/>
          <w:szCs w:val="24"/>
          <w:highlight w:val="none"/>
        </w:rPr>
        <w:t>日09</w:t>
      </w:r>
      <w:r>
        <w:rPr>
          <w:rFonts w:hint="eastAsia" w:cs="宋体"/>
          <w:sz w:val="24"/>
          <w:szCs w:val="24"/>
          <w:highlight w:val="none"/>
          <w:lang w:val="en-US" w:eastAsia="zh-CN"/>
        </w:rPr>
        <w:t>:</w:t>
      </w:r>
      <w:r>
        <w:rPr>
          <w:rFonts w:hint="eastAsia" w:ascii="宋体" w:hAnsi="宋体" w:eastAsia="宋体" w:cs="宋体"/>
          <w:sz w:val="24"/>
          <w:szCs w:val="24"/>
          <w:highlight w:val="none"/>
        </w:rPr>
        <w:t>00</w:t>
      </w:r>
      <w:r>
        <w:rPr>
          <w:rFonts w:hint="eastAsia" w:cs="宋体"/>
          <w:sz w:val="24"/>
          <w:szCs w:val="24"/>
          <w:highlight w:val="none"/>
          <w:lang w:val="en-US" w:eastAsia="zh-CN"/>
        </w:rPr>
        <w:t>时</w:t>
      </w:r>
      <w:r>
        <w:rPr>
          <w:rFonts w:hint="eastAsia" w:ascii="宋体" w:hAnsi="宋体" w:eastAsia="宋体" w:cs="宋体"/>
          <w:sz w:val="24"/>
          <w:szCs w:val="24"/>
          <w:highlight w:val="none"/>
        </w:rPr>
        <w:t>前</w:t>
      </w:r>
    </w:p>
    <w:p w14:paraId="127D0D8A">
      <w:pPr>
        <w:keepNext w:val="0"/>
        <w:keepLines w:val="0"/>
        <w:pageBreakBefore w:val="0"/>
        <w:widowControl w:val="0"/>
        <w:kinsoku/>
        <w:wordWrap w:val="0"/>
        <w:overflowPunct/>
        <w:topLinePunct w:val="0"/>
        <w:autoSpaceDE/>
        <w:autoSpaceDN/>
        <w:bidi w:val="0"/>
        <w:adjustRightInd/>
        <w:snapToGrid/>
        <w:spacing w:line="312" w:lineRule="auto"/>
        <w:ind w:left="240" w:leftChars="100" w:firstLine="240" w:firstLineChars="1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地点：供应商应在</w:t>
      </w:r>
      <w:r>
        <w:rPr>
          <w:rFonts w:hint="eastAsia" w:ascii="宋体" w:hAnsi="宋体" w:eastAsia="宋体" w:cs="宋体"/>
          <w:color w:val="000000"/>
          <w:kern w:val="0"/>
          <w:sz w:val="24"/>
          <w:szCs w:val="24"/>
          <w:highlight w:val="none"/>
          <w:lang w:eastAsia="zh-CN" w:bidi="ar"/>
        </w:rPr>
        <w:t>鲁采采电子招投标交易平台</w:t>
      </w:r>
      <w:r>
        <w:rPr>
          <w:rFonts w:hint="eastAsia" w:ascii="宋体" w:hAnsi="宋体" w:eastAsia="宋体" w:cs="宋体"/>
          <w:sz w:val="24"/>
          <w:szCs w:val="24"/>
          <w:highlight w:val="none"/>
        </w:rPr>
        <w:t>递交加密版电子响应文件</w:t>
      </w:r>
    </w:p>
    <w:p w14:paraId="627D136A">
      <w:pPr>
        <w:keepNext w:val="0"/>
        <w:keepLines w:val="0"/>
        <w:pageBreakBefore w:val="0"/>
        <w:widowControl w:val="0"/>
        <w:kinsoku/>
        <w:wordWrap w:val="0"/>
        <w:overflowPunct/>
        <w:topLinePunct w:val="0"/>
        <w:autoSpaceDE/>
        <w:autoSpaceDN/>
        <w:bidi w:val="0"/>
        <w:adjustRightInd/>
        <w:snapToGrid/>
        <w:spacing w:line="312" w:lineRule="auto"/>
        <w:textAlignment w:val="auto"/>
        <w:outlineLvl w:val="1"/>
        <w:rPr>
          <w:rFonts w:hint="eastAsia" w:ascii="宋体" w:hAnsi="宋体" w:eastAsia="宋体" w:cs="宋体"/>
          <w:b/>
          <w:bCs/>
          <w:sz w:val="24"/>
          <w:szCs w:val="24"/>
          <w:highlight w:val="none"/>
        </w:rPr>
      </w:pPr>
      <w:bookmarkStart w:id="478" w:name="_Toc28359016"/>
      <w:bookmarkStart w:id="479" w:name="_Toc11195"/>
      <w:bookmarkStart w:id="480" w:name="_Toc17637"/>
      <w:bookmarkStart w:id="481" w:name="_Toc35393802"/>
      <w:bookmarkStart w:id="482" w:name="_Toc21965"/>
      <w:bookmarkStart w:id="483" w:name="_Toc35393633"/>
      <w:bookmarkStart w:id="484" w:name="_Toc19287"/>
      <w:bookmarkStart w:id="485" w:name="_Toc30821"/>
      <w:bookmarkStart w:id="486" w:name="_Toc32005"/>
      <w:bookmarkStart w:id="487" w:name="_Toc28359093"/>
      <w:bookmarkStart w:id="488" w:name="_Toc19204"/>
      <w:bookmarkStart w:id="489" w:name="_Toc10460"/>
      <w:bookmarkStart w:id="490" w:name="_Toc28994"/>
      <w:bookmarkStart w:id="491" w:name="_Toc20239"/>
      <w:r>
        <w:rPr>
          <w:rFonts w:hint="eastAsia" w:ascii="宋体" w:hAnsi="宋体" w:eastAsia="宋体" w:cs="宋体"/>
          <w:b/>
          <w:bCs/>
          <w:sz w:val="24"/>
          <w:szCs w:val="24"/>
          <w:highlight w:val="none"/>
        </w:rPr>
        <w:t>五、开启</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14:paraId="735EB0C2">
      <w:pPr>
        <w:keepNext w:val="0"/>
        <w:keepLines w:val="0"/>
        <w:pageBreakBefore w:val="0"/>
        <w:widowControl w:val="0"/>
        <w:kinsoku/>
        <w:wordWrap w:val="0"/>
        <w:overflowPunct/>
        <w:topLinePunct w:val="0"/>
        <w:autoSpaceDE/>
        <w:autoSpaceDN/>
        <w:bidi w:val="0"/>
        <w:adjustRightInd/>
        <w:snapToGrid/>
        <w:spacing w:line="312"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时间：2025年</w:t>
      </w:r>
      <w:r>
        <w:rPr>
          <w:rFonts w:hint="eastAsia" w:cs="宋体"/>
          <w:sz w:val="24"/>
          <w:szCs w:val="24"/>
          <w:highlight w:val="none"/>
          <w:lang w:val="en-US" w:eastAsia="zh-CN"/>
        </w:rPr>
        <w:t>11月04</w:t>
      </w:r>
      <w:r>
        <w:rPr>
          <w:rFonts w:hint="eastAsia" w:ascii="宋体" w:hAnsi="宋体" w:eastAsia="宋体" w:cs="宋体"/>
          <w:sz w:val="24"/>
          <w:szCs w:val="24"/>
          <w:highlight w:val="none"/>
        </w:rPr>
        <w:t>日09</w:t>
      </w:r>
      <w:r>
        <w:rPr>
          <w:rFonts w:hint="eastAsia" w:cs="宋体"/>
          <w:sz w:val="24"/>
          <w:szCs w:val="24"/>
          <w:highlight w:val="none"/>
          <w:lang w:val="en-US" w:eastAsia="zh-CN"/>
        </w:rPr>
        <w:t>:</w:t>
      </w:r>
      <w:r>
        <w:rPr>
          <w:rFonts w:hint="eastAsia" w:ascii="宋体" w:hAnsi="宋体" w:eastAsia="宋体" w:cs="宋体"/>
          <w:sz w:val="24"/>
          <w:szCs w:val="24"/>
          <w:highlight w:val="none"/>
        </w:rPr>
        <w:t>00</w:t>
      </w:r>
      <w:r>
        <w:rPr>
          <w:rFonts w:hint="eastAsia" w:cs="宋体"/>
          <w:sz w:val="24"/>
          <w:szCs w:val="24"/>
          <w:highlight w:val="none"/>
          <w:lang w:val="en-US" w:eastAsia="zh-CN"/>
        </w:rPr>
        <w:t>时</w:t>
      </w:r>
      <w:r>
        <w:rPr>
          <w:rFonts w:hint="eastAsia" w:ascii="宋体" w:hAnsi="宋体" w:eastAsia="宋体" w:cs="宋体"/>
          <w:sz w:val="24"/>
          <w:szCs w:val="24"/>
          <w:highlight w:val="none"/>
        </w:rPr>
        <w:t>整</w:t>
      </w:r>
      <w:bookmarkStart w:id="1009" w:name="_GoBack"/>
      <w:bookmarkEnd w:id="1009"/>
    </w:p>
    <w:p w14:paraId="12AFE7DC">
      <w:pPr>
        <w:keepNext w:val="0"/>
        <w:keepLines w:val="0"/>
        <w:pageBreakBefore w:val="0"/>
        <w:widowControl w:val="0"/>
        <w:kinsoku/>
        <w:wordWrap w:val="0"/>
        <w:overflowPunct/>
        <w:topLinePunct w:val="0"/>
        <w:autoSpaceDE/>
        <w:autoSpaceDN/>
        <w:bidi w:val="0"/>
        <w:adjustRightInd/>
        <w:snapToGrid/>
        <w:spacing w:line="312" w:lineRule="auto"/>
        <w:ind w:left="240" w:leftChars="100" w:firstLine="240" w:firstLineChars="1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地点：</w:t>
      </w:r>
      <w:r>
        <w:rPr>
          <w:rFonts w:hint="eastAsia" w:ascii="宋体" w:hAnsi="宋体" w:eastAsia="宋体" w:cs="宋体"/>
          <w:bCs/>
          <w:sz w:val="24"/>
          <w:szCs w:val="24"/>
          <w:highlight w:val="none"/>
        </w:rPr>
        <w:t>本项目实行网上远程不见面磋商，供应商可自行选择任意地点登录</w:t>
      </w:r>
      <w:r>
        <w:rPr>
          <w:rFonts w:hint="eastAsia" w:ascii="宋体" w:hAnsi="宋体" w:eastAsia="宋体" w:cs="宋体"/>
          <w:sz w:val="24"/>
          <w:szCs w:val="24"/>
          <w:highlight w:val="none"/>
          <w:lang w:eastAsia="zh-CN"/>
        </w:rPr>
        <w:t>鲁采采电子招投标交易平台</w:t>
      </w:r>
      <w:r>
        <w:rPr>
          <w:rFonts w:hint="eastAsia" w:ascii="宋体" w:hAnsi="宋体" w:eastAsia="宋体" w:cs="宋体"/>
          <w:bCs/>
          <w:sz w:val="24"/>
          <w:szCs w:val="24"/>
          <w:highlight w:val="none"/>
        </w:rPr>
        <w:t>磋商大厅参加磋商。供应商若解密失败或因自身原因无法解密的，自行承担责任</w:t>
      </w:r>
      <w:r>
        <w:rPr>
          <w:rFonts w:hint="eastAsia" w:ascii="宋体" w:hAnsi="宋体" w:eastAsia="宋体" w:cs="宋体"/>
          <w:sz w:val="24"/>
          <w:szCs w:val="24"/>
          <w:highlight w:val="none"/>
        </w:rPr>
        <w:t>。</w:t>
      </w:r>
    </w:p>
    <w:p w14:paraId="015E8D43">
      <w:pPr>
        <w:keepNext w:val="0"/>
        <w:keepLines w:val="0"/>
        <w:pageBreakBefore w:val="0"/>
        <w:widowControl w:val="0"/>
        <w:kinsoku/>
        <w:wordWrap w:val="0"/>
        <w:overflowPunct/>
        <w:topLinePunct w:val="0"/>
        <w:autoSpaceDE/>
        <w:autoSpaceDN/>
        <w:bidi w:val="0"/>
        <w:adjustRightInd/>
        <w:snapToGrid/>
        <w:spacing w:line="312" w:lineRule="auto"/>
        <w:textAlignment w:val="auto"/>
        <w:outlineLvl w:val="1"/>
        <w:rPr>
          <w:rFonts w:hint="eastAsia" w:ascii="宋体" w:hAnsi="宋体" w:eastAsia="宋体" w:cs="宋体"/>
          <w:b/>
          <w:bCs/>
          <w:sz w:val="24"/>
          <w:szCs w:val="24"/>
          <w:highlight w:val="none"/>
        </w:rPr>
      </w:pPr>
      <w:bookmarkStart w:id="492" w:name="_Toc10327"/>
      <w:bookmarkStart w:id="493" w:name="_Toc20758"/>
      <w:bookmarkStart w:id="494" w:name="_Toc32004"/>
      <w:bookmarkStart w:id="495" w:name="_Toc2756"/>
      <w:bookmarkStart w:id="496" w:name="_Toc1030"/>
      <w:bookmarkStart w:id="497" w:name="_Toc35393634"/>
      <w:bookmarkStart w:id="498" w:name="_Toc28359017"/>
      <w:bookmarkStart w:id="499" w:name="_Toc35393803"/>
      <w:bookmarkStart w:id="500" w:name="_Toc28359094"/>
      <w:bookmarkStart w:id="501" w:name="_Toc17862"/>
      <w:bookmarkStart w:id="502" w:name="_Toc6468"/>
      <w:bookmarkStart w:id="503" w:name="_Toc22379"/>
      <w:bookmarkStart w:id="504" w:name="_Toc22588"/>
      <w:bookmarkStart w:id="505" w:name="_Toc2649"/>
      <w:r>
        <w:rPr>
          <w:rFonts w:hint="eastAsia" w:ascii="宋体" w:hAnsi="宋体" w:eastAsia="宋体" w:cs="宋体"/>
          <w:b/>
          <w:bCs/>
          <w:sz w:val="24"/>
          <w:szCs w:val="24"/>
          <w:highlight w:val="none"/>
        </w:rPr>
        <w:t>六、公告期限</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14:paraId="235DE882">
      <w:pPr>
        <w:keepNext w:val="0"/>
        <w:keepLines w:val="0"/>
        <w:pageBreakBefore w:val="0"/>
        <w:widowControl w:val="0"/>
        <w:kinsoku/>
        <w:wordWrap w:val="0"/>
        <w:overflowPunct/>
        <w:topLinePunct w:val="0"/>
        <w:autoSpaceDE/>
        <w:autoSpaceDN/>
        <w:bidi w:val="0"/>
        <w:adjustRightInd/>
        <w:snapToGrid/>
        <w:spacing w:line="312"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自本公告发布之日起3个工作日。</w:t>
      </w:r>
    </w:p>
    <w:p w14:paraId="64AD7A4C">
      <w:pPr>
        <w:keepNext w:val="0"/>
        <w:keepLines w:val="0"/>
        <w:pageBreakBefore w:val="0"/>
        <w:widowControl w:val="0"/>
        <w:kinsoku/>
        <w:wordWrap w:val="0"/>
        <w:overflowPunct/>
        <w:topLinePunct w:val="0"/>
        <w:autoSpaceDE/>
        <w:autoSpaceDN/>
        <w:bidi w:val="0"/>
        <w:adjustRightInd/>
        <w:snapToGrid/>
        <w:spacing w:line="312" w:lineRule="auto"/>
        <w:textAlignment w:val="auto"/>
        <w:outlineLvl w:val="1"/>
        <w:rPr>
          <w:rFonts w:hint="eastAsia" w:ascii="宋体" w:hAnsi="宋体" w:eastAsia="宋体" w:cs="宋体"/>
          <w:b/>
          <w:bCs/>
          <w:sz w:val="24"/>
          <w:szCs w:val="24"/>
          <w:highlight w:val="none"/>
        </w:rPr>
      </w:pPr>
      <w:bookmarkStart w:id="506" w:name="_Toc12338"/>
      <w:bookmarkStart w:id="507" w:name="_Toc17069"/>
      <w:bookmarkStart w:id="508" w:name="_Toc27871"/>
      <w:bookmarkStart w:id="509" w:name="_Toc5503"/>
      <w:bookmarkStart w:id="510" w:name="_Toc20539"/>
      <w:bookmarkStart w:id="511" w:name="_Toc35393635"/>
      <w:bookmarkStart w:id="512" w:name="_Toc8623"/>
      <w:bookmarkStart w:id="513" w:name="_Toc24611"/>
      <w:bookmarkStart w:id="514" w:name="_Toc35393804"/>
      <w:bookmarkStart w:id="515" w:name="_Toc9256"/>
      <w:bookmarkStart w:id="516" w:name="_Toc14078"/>
      <w:bookmarkStart w:id="517" w:name="_Toc28972"/>
      <w:r>
        <w:rPr>
          <w:rFonts w:hint="eastAsia" w:ascii="宋体" w:hAnsi="宋体" w:eastAsia="宋体" w:cs="宋体"/>
          <w:b/>
          <w:bCs/>
          <w:sz w:val="24"/>
          <w:szCs w:val="24"/>
          <w:highlight w:val="none"/>
        </w:rPr>
        <w:t>七、其他补充事宜</w:t>
      </w:r>
      <w:bookmarkEnd w:id="506"/>
      <w:bookmarkEnd w:id="507"/>
      <w:bookmarkEnd w:id="508"/>
      <w:bookmarkEnd w:id="509"/>
      <w:bookmarkEnd w:id="510"/>
      <w:bookmarkEnd w:id="511"/>
      <w:bookmarkEnd w:id="512"/>
      <w:bookmarkEnd w:id="513"/>
      <w:bookmarkEnd w:id="514"/>
      <w:bookmarkEnd w:id="515"/>
      <w:bookmarkEnd w:id="516"/>
      <w:bookmarkEnd w:id="517"/>
    </w:p>
    <w:p w14:paraId="06DAB189">
      <w:pPr>
        <w:keepNext w:val="0"/>
        <w:keepLines w:val="0"/>
        <w:pageBreakBefore w:val="0"/>
        <w:widowControl w:val="0"/>
        <w:kinsoku/>
        <w:wordWrap w:val="0"/>
        <w:overflowPunct/>
        <w:topLinePunct w:val="0"/>
        <w:autoSpaceDE/>
        <w:autoSpaceDN/>
        <w:bidi w:val="0"/>
        <w:adjustRightInd/>
        <w:snapToGrid/>
        <w:spacing w:line="312" w:lineRule="auto"/>
        <w:ind w:firstLine="480" w:firstLineChars="200"/>
        <w:textAlignment w:val="auto"/>
        <w:rPr>
          <w:rFonts w:hint="eastAsia" w:ascii="宋体" w:hAnsi="宋体" w:eastAsia="宋体" w:cs="宋体"/>
          <w:sz w:val="24"/>
          <w:szCs w:val="24"/>
          <w:highlight w:val="none"/>
          <w:lang w:eastAsia="zh-CN"/>
        </w:rPr>
      </w:pPr>
      <w:bookmarkStart w:id="518" w:name="_Toc3511"/>
      <w:bookmarkStart w:id="519" w:name="_Toc12228"/>
      <w:bookmarkStart w:id="520" w:name="_Toc28359095"/>
      <w:bookmarkStart w:id="521" w:name="_Toc35393805"/>
      <w:bookmarkStart w:id="522" w:name="_Toc7052"/>
      <w:bookmarkStart w:id="523" w:name="_Toc25690"/>
      <w:bookmarkStart w:id="524" w:name="_Toc35393636"/>
      <w:bookmarkStart w:id="525" w:name="_Toc5262"/>
      <w:bookmarkStart w:id="526" w:name="_Toc28359018"/>
      <w:bookmarkStart w:id="527" w:name="_Toc2582"/>
      <w:bookmarkStart w:id="528" w:name="_Toc527"/>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本项目为电子交易，</w:t>
      </w:r>
      <w:r>
        <w:rPr>
          <w:rFonts w:hint="eastAsia" w:ascii="宋体" w:hAnsi="宋体" w:eastAsia="宋体" w:cs="宋体"/>
          <w:sz w:val="24"/>
          <w:szCs w:val="24"/>
          <w:highlight w:val="none"/>
          <w:lang w:val="en-US" w:eastAsia="zh-CN"/>
        </w:rPr>
        <w:t>供应商应</w:t>
      </w:r>
      <w:r>
        <w:rPr>
          <w:rFonts w:hint="eastAsia" w:ascii="宋体" w:hAnsi="宋体" w:eastAsia="宋体" w:cs="宋体"/>
          <w:sz w:val="24"/>
          <w:szCs w:val="24"/>
          <w:highlight w:val="none"/>
        </w:rPr>
        <w:t>在</w:t>
      </w:r>
      <w:r>
        <w:rPr>
          <w:rFonts w:hint="eastAsia" w:ascii="宋体" w:hAnsi="宋体" w:eastAsia="宋体" w:cs="宋体"/>
          <w:sz w:val="24"/>
          <w:szCs w:val="24"/>
          <w:highlight w:val="none"/>
          <w:lang w:eastAsia="zh-CN"/>
        </w:rPr>
        <w:t>鲁采采电子招投标交易平台</w:t>
      </w:r>
      <w:r>
        <w:rPr>
          <w:rFonts w:hint="eastAsia" w:ascii="宋体" w:hAnsi="宋体" w:eastAsia="宋体" w:cs="宋体"/>
          <w:sz w:val="24"/>
          <w:szCs w:val="24"/>
          <w:highlight w:val="none"/>
        </w:rPr>
        <w:t>下载电子版</w:t>
      </w:r>
      <w:r>
        <w:rPr>
          <w:rFonts w:hint="eastAsia" w:ascii="宋体" w:hAnsi="宋体" w:eastAsia="宋体" w:cs="宋体"/>
          <w:sz w:val="24"/>
          <w:szCs w:val="24"/>
          <w:highlight w:val="none"/>
          <w:lang w:eastAsia="zh-CN"/>
        </w:rPr>
        <w:t>磋商文件，</w:t>
      </w:r>
      <w:r>
        <w:rPr>
          <w:rFonts w:hint="eastAsia" w:ascii="宋体" w:hAnsi="宋体" w:eastAsia="宋体" w:cs="宋体"/>
          <w:sz w:val="24"/>
          <w:szCs w:val="24"/>
          <w:highlight w:val="none"/>
        </w:rPr>
        <w:t>编制</w:t>
      </w:r>
      <w:r>
        <w:rPr>
          <w:rFonts w:hint="eastAsia" w:ascii="宋体" w:hAnsi="宋体" w:eastAsia="宋体" w:cs="宋体"/>
          <w:sz w:val="24"/>
          <w:szCs w:val="24"/>
          <w:highlight w:val="none"/>
          <w:lang w:eastAsia="zh-CN"/>
        </w:rPr>
        <w:t>响应文件</w:t>
      </w:r>
      <w:r>
        <w:rPr>
          <w:rFonts w:hint="eastAsia" w:ascii="宋体" w:hAnsi="宋体" w:eastAsia="宋体" w:cs="宋体"/>
          <w:sz w:val="24"/>
          <w:szCs w:val="24"/>
          <w:highlight w:val="none"/>
        </w:rPr>
        <w:t>需使用企业CA锁，</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在获取</w:t>
      </w:r>
      <w:r>
        <w:rPr>
          <w:rFonts w:hint="eastAsia" w:ascii="宋体" w:hAnsi="宋体" w:eastAsia="宋体" w:cs="宋体"/>
          <w:sz w:val="24"/>
          <w:szCs w:val="24"/>
          <w:highlight w:val="none"/>
          <w:lang w:eastAsia="zh-CN"/>
        </w:rPr>
        <w:t>磋商文件</w:t>
      </w:r>
      <w:r>
        <w:rPr>
          <w:rFonts w:hint="eastAsia" w:ascii="宋体" w:hAnsi="宋体" w:eastAsia="宋体" w:cs="宋体"/>
          <w:sz w:val="24"/>
          <w:szCs w:val="24"/>
          <w:highlight w:val="none"/>
        </w:rPr>
        <w:t>后应进行企业CA办理。CA注册有一定周期，请及时办理以</w:t>
      </w:r>
      <w:r>
        <w:rPr>
          <w:rFonts w:hint="eastAsia" w:ascii="宋体" w:hAnsi="宋体" w:eastAsia="宋体" w:cs="宋体"/>
          <w:sz w:val="24"/>
          <w:szCs w:val="24"/>
          <w:highlight w:val="none"/>
          <w:lang w:eastAsia="zh-CN"/>
        </w:rPr>
        <w:t>免影响本次报价，关于数字证书免费办理的通知</w:t>
      </w:r>
      <w:r>
        <w:rPr>
          <w:rFonts w:hint="eastAsia" w:ascii="宋体" w:hAnsi="宋体" w:eastAsia="宋体" w:cs="宋体"/>
          <w:sz w:val="24"/>
          <w:szCs w:val="24"/>
          <w:highlight w:val="none"/>
          <w:lang w:val="en-US" w:eastAsia="zh-CN"/>
        </w:rPr>
        <w:t>详见</w:t>
      </w:r>
      <w:r>
        <w:rPr>
          <w:rFonts w:hint="eastAsia" w:ascii="宋体" w:hAnsi="宋体" w:eastAsia="宋体" w:cs="宋体"/>
          <w:sz w:val="24"/>
          <w:szCs w:val="24"/>
          <w:highlight w:val="none"/>
          <w:lang w:eastAsia="zh-CN"/>
        </w:rPr>
        <w:t>http://hzsjyzx.cn/bszn/010005/20210831/17ea4283-57d2-421a-8fed-73298e42ddba.html。</w:t>
      </w:r>
    </w:p>
    <w:p w14:paraId="6E39AE5B">
      <w:pPr>
        <w:keepNext w:val="0"/>
        <w:keepLines w:val="0"/>
        <w:pageBreakBefore w:val="0"/>
        <w:widowControl w:val="0"/>
        <w:kinsoku/>
        <w:wordWrap w:val="0"/>
        <w:overflowPunct/>
        <w:topLinePunct w:val="0"/>
        <w:autoSpaceDE/>
        <w:autoSpaceDN/>
        <w:bidi w:val="0"/>
        <w:adjustRightInd/>
        <w:snapToGrid/>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eastAsia="zh-CN"/>
        </w:rPr>
        <w:t>磋商文件</w:t>
      </w:r>
      <w:r>
        <w:rPr>
          <w:rFonts w:hint="eastAsia" w:ascii="宋体" w:hAnsi="宋体" w:eastAsia="宋体" w:cs="宋体"/>
          <w:sz w:val="24"/>
          <w:szCs w:val="24"/>
          <w:highlight w:val="none"/>
        </w:rPr>
        <w:t>在</w:t>
      </w:r>
      <w:r>
        <w:rPr>
          <w:rFonts w:hint="eastAsia" w:ascii="宋体" w:hAnsi="宋体" w:eastAsia="宋体" w:cs="宋体"/>
          <w:sz w:val="24"/>
          <w:szCs w:val="24"/>
          <w:highlight w:val="none"/>
          <w:lang w:val="en-US" w:eastAsia="zh-CN"/>
        </w:rPr>
        <w:t>鲁采采电子招投标交易平台</w:t>
      </w:r>
      <w:r>
        <w:rPr>
          <w:rFonts w:hint="eastAsia" w:ascii="宋体" w:hAnsi="宋体" w:eastAsia="宋体" w:cs="宋体"/>
          <w:sz w:val="24"/>
          <w:szCs w:val="24"/>
          <w:highlight w:val="none"/>
        </w:rPr>
        <w:t>发布后，视作已发放给所有</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（发布时间即为发出</w:t>
      </w:r>
      <w:r>
        <w:rPr>
          <w:rFonts w:hint="eastAsia" w:ascii="宋体" w:hAnsi="宋体" w:eastAsia="宋体" w:cs="宋体"/>
          <w:sz w:val="24"/>
          <w:szCs w:val="24"/>
          <w:highlight w:val="none"/>
          <w:lang w:eastAsia="zh-CN"/>
        </w:rPr>
        <w:t>磋商文件</w:t>
      </w:r>
      <w:r>
        <w:rPr>
          <w:rFonts w:hint="eastAsia" w:ascii="宋体" w:hAnsi="宋体" w:eastAsia="宋体" w:cs="宋体"/>
          <w:sz w:val="24"/>
          <w:szCs w:val="24"/>
          <w:highlight w:val="none"/>
        </w:rPr>
        <w:t>的时间），各</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应随时关注</w:t>
      </w:r>
      <w:r>
        <w:rPr>
          <w:rFonts w:hint="eastAsia" w:ascii="宋体" w:hAnsi="宋体" w:eastAsia="宋体" w:cs="宋体"/>
          <w:sz w:val="24"/>
          <w:szCs w:val="24"/>
          <w:highlight w:val="none"/>
          <w:lang w:val="en-US" w:eastAsia="zh-CN"/>
        </w:rPr>
        <w:t>本</w:t>
      </w:r>
      <w:r>
        <w:rPr>
          <w:rFonts w:hint="eastAsia" w:ascii="宋体" w:hAnsi="宋体" w:eastAsia="宋体" w:cs="宋体"/>
          <w:sz w:val="24"/>
          <w:szCs w:val="24"/>
          <w:highlight w:val="none"/>
        </w:rPr>
        <w:t>项目信息并及时在</w:t>
      </w:r>
      <w:r>
        <w:rPr>
          <w:rFonts w:hint="eastAsia" w:ascii="宋体" w:hAnsi="宋体" w:eastAsia="宋体" w:cs="宋体"/>
          <w:sz w:val="24"/>
          <w:szCs w:val="24"/>
          <w:highlight w:val="none"/>
          <w:lang w:eastAsia="zh-CN"/>
        </w:rPr>
        <w:t>鲁采采电子招投标交易平台</w:t>
      </w:r>
      <w:r>
        <w:rPr>
          <w:rFonts w:hint="eastAsia" w:ascii="宋体" w:hAnsi="宋体" w:eastAsia="宋体" w:cs="宋体"/>
          <w:sz w:val="24"/>
          <w:szCs w:val="24"/>
          <w:highlight w:val="none"/>
        </w:rPr>
        <w:t>下载电子版</w:t>
      </w:r>
      <w:r>
        <w:rPr>
          <w:rFonts w:hint="eastAsia" w:ascii="宋体" w:hAnsi="宋体" w:eastAsia="宋体" w:cs="宋体"/>
          <w:sz w:val="24"/>
          <w:szCs w:val="24"/>
          <w:highlight w:val="none"/>
          <w:lang w:val="en-US" w:eastAsia="zh-CN"/>
        </w:rPr>
        <w:t>磋商文件</w:t>
      </w:r>
      <w:r>
        <w:rPr>
          <w:rFonts w:hint="eastAsia" w:ascii="宋体" w:hAnsi="宋体" w:eastAsia="宋体" w:cs="宋体"/>
          <w:sz w:val="24"/>
          <w:szCs w:val="24"/>
          <w:highlight w:val="none"/>
        </w:rPr>
        <w:t>和各类澄清答疑，否则所造成的一切后果由</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自负</w:t>
      </w:r>
      <w:r>
        <w:rPr>
          <w:rFonts w:hint="eastAsia" w:ascii="宋体" w:hAnsi="宋体" w:eastAsia="宋体" w:cs="宋体"/>
          <w:kern w:val="0"/>
          <w:sz w:val="24"/>
          <w:szCs w:val="24"/>
          <w:highlight w:val="none"/>
        </w:rPr>
        <w:t>。</w:t>
      </w:r>
    </w:p>
    <w:p w14:paraId="40DBB8DE">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宋体" w:hAnsi="宋体" w:eastAsia="宋体" w:cs="宋体"/>
          <w:kern w:val="0"/>
          <w:sz w:val="24"/>
          <w:szCs w:val="24"/>
          <w:highlight w:val="none"/>
        </w:rPr>
      </w:pPr>
      <w:r>
        <w:rPr>
          <w:rFonts w:hint="eastAsia" w:ascii="宋体" w:hAnsi="宋体" w:eastAsia="宋体" w:cs="宋体"/>
          <w:b/>
          <w:bCs/>
          <w:kern w:val="0"/>
          <w:sz w:val="24"/>
          <w:szCs w:val="24"/>
          <w:highlight w:val="none"/>
          <w:lang w:eastAsia="zh-CN"/>
        </w:rPr>
        <w:t>3.本项目为“预采购”，预采购项目有取消和终止采购的可能。</w:t>
      </w:r>
    </w:p>
    <w:p w14:paraId="35E2BB11">
      <w:pPr>
        <w:keepNext w:val="0"/>
        <w:keepLines w:val="0"/>
        <w:pageBreakBefore w:val="0"/>
        <w:widowControl w:val="0"/>
        <w:kinsoku/>
        <w:wordWrap w:val="0"/>
        <w:overflowPunct/>
        <w:topLinePunct w:val="0"/>
        <w:autoSpaceDE/>
        <w:autoSpaceDN/>
        <w:bidi w:val="0"/>
        <w:adjustRightInd/>
        <w:snapToGrid/>
        <w:spacing w:line="312" w:lineRule="auto"/>
        <w:textAlignment w:val="auto"/>
        <w:outlineLvl w:val="1"/>
        <w:rPr>
          <w:rFonts w:hint="eastAsia" w:ascii="宋体" w:hAnsi="宋体" w:eastAsia="宋体" w:cs="宋体"/>
          <w:b/>
          <w:bCs/>
          <w:sz w:val="24"/>
          <w:szCs w:val="24"/>
          <w:highlight w:val="none"/>
        </w:rPr>
      </w:pPr>
      <w:bookmarkStart w:id="529" w:name="_Toc17583"/>
      <w:bookmarkStart w:id="530" w:name="_Toc13131"/>
      <w:bookmarkStart w:id="531" w:name="_Toc6229"/>
      <w:r>
        <w:rPr>
          <w:rFonts w:hint="eastAsia" w:ascii="宋体" w:hAnsi="宋体" w:eastAsia="宋体" w:cs="宋体"/>
          <w:b/>
          <w:bCs/>
          <w:sz w:val="24"/>
          <w:szCs w:val="24"/>
          <w:highlight w:val="none"/>
        </w:rPr>
        <w:t>八、凡对本次采购提出询问，请按以下方式联系</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14:paraId="562F4521">
      <w:pPr>
        <w:keepNext w:val="0"/>
        <w:keepLines w:val="0"/>
        <w:pageBreakBefore w:val="0"/>
        <w:widowControl w:val="0"/>
        <w:kinsoku/>
        <w:wordWrap w:val="0"/>
        <w:overflowPunct/>
        <w:topLinePunct w:val="0"/>
        <w:autoSpaceDE/>
        <w:autoSpaceDN/>
        <w:bidi w:val="0"/>
        <w:adjustRightInd/>
        <w:snapToGrid/>
        <w:spacing w:line="312" w:lineRule="auto"/>
        <w:ind w:firstLine="480" w:firstLineChars="200"/>
        <w:textAlignment w:val="auto"/>
        <w:outlineLvl w:val="2"/>
        <w:rPr>
          <w:rFonts w:hint="eastAsia" w:ascii="宋体" w:hAnsi="宋体" w:eastAsia="宋体" w:cs="宋体"/>
          <w:sz w:val="24"/>
          <w:szCs w:val="24"/>
          <w:highlight w:val="none"/>
        </w:rPr>
      </w:pPr>
      <w:bookmarkStart w:id="532" w:name="_Toc18796"/>
      <w:bookmarkStart w:id="533" w:name="_Toc6449"/>
      <w:bookmarkStart w:id="534" w:name="_Toc14779"/>
      <w:bookmarkStart w:id="535" w:name="_Toc436"/>
      <w:bookmarkStart w:id="536" w:name="_Toc35393637"/>
      <w:bookmarkStart w:id="537" w:name="_Toc21190"/>
      <w:bookmarkStart w:id="538" w:name="_Toc12824"/>
      <w:bookmarkStart w:id="539" w:name="_Toc35393806"/>
      <w:bookmarkStart w:id="540" w:name="_Toc22288"/>
      <w:bookmarkStart w:id="541" w:name="_Toc27748"/>
      <w:bookmarkStart w:id="542" w:name="_Toc28359019"/>
      <w:bookmarkStart w:id="543" w:name="_Toc526"/>
      <w:bookmarkStart w:id="544" w:name="_Toc28359096"/>
      <w:r>
        <w:rPr>
          <w:rFonts w:hint="eastAsia" w:ascii="宋体" w:hAnsi="宋体" w:eastAsia="宋体" w:cs="宋体"/>
          <w:sz w:val="24"/>
          <w:szCs w:val="24"/>
          <w:highlight w:val="none"/>
        </w:rPr>
        <w:t>1.采购人信息</w:t>
      </w:r>
      <w:bookmarkEnd w:id="532"/>
      <w:bookmarkEnd w:id="533"/>
      <w:bookmarkEnd w:id="534"/>
      <w:bookmarkEnd w:id="535"/>
      <w:bookmarkEnd w:id="536"/>
      <w:bookmarkEnd w:id="537"/>
      <w:bookmarkEnd w:id="538"/>
      <w:bookmarkEnd w:id="539"/>
      <w:bookmarkEnd w:id="540"/>
      <w:bookmarkEnd w:id="541"/>
      <w:bookmarkEnd w:id="542"/>
      <w:bookmarkEnd w:id="543"/>
      <w:bookmarkEnd w:id="544"/>
    </w:p>
    <w:p w14:paraId="6E7BE78A">
      <w:pPr>
        <w:keepNext w:val="0"/>
        <w:keepLines w:val="0"/>
        <w:pageBreakBefore w:val="0"/>
        <w:widowControl w:val="0"/>
        <w:kinsoku/>
        <w:wordWrap w:val="0"/>
        <w:overflowPunct/>
        <w:topLinePunct w:val="0"/>
        <w:autoSpaceDE/>
        <w:autoSpaceDN/>
        <w:bidi w:val="0"/>
        <w:adjustRightInd/>
        <w:snapToGrid/>
        <w:spacing w:line="312" w:lineRule="auto"/>
        <w:ind w:firstLine="480" w:firstLineChars="200"/>
        <w:textAlignment w:val="auto"/>
        <w:rPr>
          <w:rFonts w:hint="eastAsia" w:ascii="宋体" w:hAnsi="宋体" w:eastAsia="宋体" w:cs="宋体"/>
          <w:sz w:val="24"/>
          <w:szCs w:val="24"/>
          <w:highlight w:val="none"/>
          <w:lang w:eastAsia="zh-CN"/>
        </w:rPr>
      </w:pPr>
      <w:bookmarkStart w:id="545" w:name="_Toc28359020"/>
      <w:bookmarkStart w:id="546" w:name="_Toc30243"/>
      <w:bookmarkStart w:id="547" w:name="_Toc28359097"/>
      <w:bookmarkStart w:id="548" w:name="_Toc9100"/>
      <w:bookmarkStart w:id="549" w:name="_Toc35393638"/>
      <w:bookmarkStart w:id="550" w:name="_Toc35393807"/>
      <w:bookmarkStart w:id="551" w:name="_Toc22215"/>
      <w:r>
        <w:rPr>
          <w:rFonts w:hint="eastAsia" w:ascii="宋体" w:hAnsi="宋体" w:eastAsia="宋体" w:cs="宋体"/>
          <w:sz w:val="24"/>
          <w:szCs w:val="24"/>
          <w:highlight w:val="none"/>
        </w:rPr>
        <w:t>采 购 人：</w:t>
      </w:r>
      <w:r>
        <w:rPr>
          <w:rFonts w:hint="eastAsia" w:ascii="宋体" w:hAnsi="宋体" w:eastAsia="宋体" w:cs="宋体"/>
          <w:sz w:val="24"/>
          <w:szCs w:val="24"/>
          <w:highlight w:val="none"/>
          <w:lang w:eastAsia="zh-CN"/>
        </w:rPr>
        <w:t>菏泽市住房和城乡建设局</w:t>
      </w:r>
    </w:p>
    <w:p w14:paraId="226E9032">
      <w:pPr>
        <w:keepNext w:val="0"/>
        <w:keepLines w:val="0"/>
        <w:pageBreakBefore w:val="0"/>
        <w:widowControl w:val="0"/>
        <w:kinsoku/>
        <w:wordWrap w:val="0"/>
        <w:overflowPunct/>
        <w:topLinePunct w:val="0"/>
        <w:autoSpaceDE/>
        <w:autoSpaceDN/>
        <w:bidi w:val="0"/>
        <w:adjustRightInd/>
        <w:snapToGrid/>
        <w:spacing w:line="312"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地    址：菏泽市珠江路1877号</w:t>
      </w:r>
    </w:p>
    <w:p w14:paraId="176E06BB">
      <w:pPr>
        <w:keepNext w:val="0"/>
        <w:keepLines w:val="0"/>
        <w:pageBreakBefore w:val="0"/>
        <w:widowControl w:val="0"/>
        <w:kinsoku/>
        <w:wordWrap w:val="0"/>
        <w:overflowPunct/>
        <w:topLinePunct w:val="0"/>
        <w:autoSpaceDE/>
        <w:autoSpaceDN/>
        <w:bidi w:val="0"/>
        <w:adjustRightInd/>
        <w:snapToGrid/>
        <w:spacing w:line="312" w:lineRule="auto"/>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联系方式：</w:t>
      </w:r>
      <w:r>
        <w:rPr>
          <w:rFonts w:hint="eastAsia" w:ascii="宋体" w:hAnsi="宋体" w:eastAsia="宋体" w:cs="宋体"/>
          <w:snapToGrid/>
          <w:color w:val="auto"/>
          <w:kern w:val="2"/>
          <w:sz w:val="22"/>
          <w:szCs w:val="22"/>
          <w:highlight w:val="none"/>
          <w:lang w:eastAsia="zh-CN"/>
        </w:rPr>
        <w:t>0530-5160629</w:t>
      </w:r>
    </w:p>
    <w:p w14:paraId="0D7DD89C">
      <w:pPr>
        <w:keepNext w:val="0"/>
        <w:keepLines w:val="0"/>
        <w:pageBreakBefore w:val="0"/>
        <w:widowControl w:val="0"/>
        <w:kinsoku/>
        <w:wordWrap w:val="0"/>
        <w:overflowPunct/>
        <w:topLinePunct w:val="0"/>
        <w:autoSpaceDE/>
        <w:autoSpaceDN/>
        <w:bidi w:val="0"/>
        <w:adjustRightInd/>
        <w:snapToGrid/>
        <w:spacing w:line="312"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2.采购代理机构信息</w:t>
      </w:r>
      <w:bookmarkEnd w:id="545"/>
      <w:bookmarkEnd w:id="546"/>
      <w:bookmarkEnd w:id="547"/>
      <w:bookmarkEnd w:id="548"/>
      <w:bookmarkEnd w:id="549"/>
      <w:bookmarkEnd w:id="550"/>
      <w:bookmarkEnd w:id="551"/>
    </w:p>
    <w:p w14:paraId="2FEB9B6F">
      <w:pPr>
        <w:keepNext w:val="0"/>
        <w:keepLines w:val="0"/>
        <w:pageBreakBefore w:val="0"/>
        <w:widowControl w:val="0"/>
        <w:kinsoku/>
        <w:wordWrap w:val="0"/>
        <w:overflowPunct/>
        <w:topLinePunct w:val="0"/>
        <w:autoSpaceDE/>
        <w:autoSpaceDN/>
        <w:bidi w:val="0"/>
        <w:adjustRightInd/>
        <w:snapToGrid/>
        <w:spacing w:line="312"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名  称：山东东盛建设项目管理有限公司</w:t>
      </w:r>
    </w:p>
    <w:p w14:paraId="5701BE77">
      <w:pPr>
        <w:keepNext w:val="0"/>
        <w:keepLines w:val="0"/>
        <w:pageBreakBefore w:val="0"/>
        <w:widowControl w:val="0"/>
        <w:kinsoku/>
        <w:wordWrap w:val="0"/>
        <w:overflowPunct/>
        <w:topLinePunct w:val="0"/>
        <w:autoSpaceDE/>
        <w:autoSpaceDN/>
        <w:bidi w:val="0"/>
        <w:adjustRightInd/>
        <w:snapToGrid/>
        <w:spacing w:line="312"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地  址：菏泽市牡丹区长江西路龙泽花园办公楼三楼</w:t>
      </w:r>
      <w:bookmarkStart w:id="552" w:name="_Toc13"/>
      <w:bookmarkStart w:id="553" w:name="_Toc11481"/>
      <w:bookmarkStart w:id="554" w:name="_Toc35393808"/>
      <w:bookmarkStart w:id="555" w:name="_Toc28359021"/>
      <w:bookmarkStart w:id="556" w:name="_Toc28359098"/>
      <w:bookmarkStart w:id="557" w:name="_Toc35393639"/>
      <w:bookmarkStart w:id="558" w:name="_Toc23140"/>
    </w:p>
    <w:p w14:paraId="0AB40669">
      <w:pPr>
        <w:keepNext w:val="0"/>
        <w:keepLines w:val="0"/>
        <w:pageBreakBefore w:val="0"/>
        <w:widowControl w:val="0"/>
        <w:kinsoku/>
        <w:wordWrap w:val="0"/>
        <w:overflowPunct/>
        <w:topLinePunct w:val="0"/>
        <w:autoSpaceDE/>
        <w:autoSpaceDN/>
        <w:bidi w:val="0"/>
        <w:adjustRightInd/>
        <w:snapToGrid/>
        <w:spacing w:line="312"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3.项目联系方式</w:t>
      </w:r>
      <w:bookmarkEnd w:id="552"/>
      <w:bookmarkEnd w:id="553"/>
      <w:bookmarkEnd w:id="554"/>
      <w:bookmarkEnd w:id="555"/>
      <w:bookmarkEnd w:id="556"/>
      <w:bookmarkEnd w:id="557"/>
      <w:bookmarkEnd w:id="558"/>
    </w:p>
    <w:p w14:paraId="376691C8">
      <w:pPr>
        <w:keepNext w:val="0"/>
        <w:keepLines w:val="0"/>
        <w:pageBreakBefore w:val="0"/>
        <w:widowControl w:val="0"/>
        <w:kinsoku/>
        <w:wordWrap w:val="0"/>
        <w:overflowPunct/>
        <w:topLinePunct w:val="0"/>
        <w:autoSpaceDE/>
        <w:autoSpaceDN/>
        <w:bidi w:val="0"/>
        <w:adjustRightInd/>
        <w:snapToGrid/>
        <w:spacing w:line="312"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项目联系人：</w:t>
      </w:r>
      <w:r>
        <w:rPr>
          <w:rFonts w:hint="eastAsia" w:ascii="宋体" w:hAnsi="宋体" w:eastAsia="宋体" w:cs="宋体"/>
          <w:sz w:val="24"/>
          <w:szCs w:val="24"/>
          <w:highlight w:val="none"/>
          <w:lang w:val="en-US" w:eastAsia="zh-CN"/>
        </w:rPr>
        <w:t>杨经理</w:t>
      </w:r>
    </w:p>
    <w:p w14:paraId="74F382DD">
      <w:pPr>
        <w:keepNext w:val="0"/>
        <w:keepLines w:val="0"/>
        <w:pageBreakBefore w:val="0"/>
        <w:widowControl w:val="0"/>
        <w:kinsoku/>
        <w:wordWrap w:val="0"/>
        <w:overflowPunct/>
        <w:topLinePunct w:val="0"/>
        <w:autoSpaceDE/>
        <w:autoSpaceDN/>
        <w:bidi w:val="0"/>
        <w:adjustRightInd/>
        <w:snapToGrid/>
        <w:spacing w:line="312"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联系电话</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18661517599</w:t>
      </w:r>
    </w:p>
    <w:p w14:paraId="3CF056FD">
      <w:pPr>
        <w:wordWrap w:val="0"/>
        <w:spacing w:line="312" w:lineRule="auto"/>
        <w:ind w:firstLine="480" w:firstLineChars="200"/>
        <w:rPr>
          <w:rFonts w:hint="eastAsia"/>
          <w:highlight w:val="none"/>
        </w:rPr>
      </w:pPr>
    </w:p>
    <w:p w14:paraId="6B4607BE">
      <w:pPr>
        <w:wordWrap w:val="0"/>
        <w:spacing w:line="460" w:lineRule="exact"/>
        <w:ind w:firstLine="480" w:firstLineChars="200"/>
        <w:rPr>
          <w:rFonts w:hint="eastAsia"/>
          <w:highlight w:val="none"/>
        </w:rPr>
      </w:pPr>
      <w:r>
        <w:rPr>
          <w:rFonts w:hint="eastAsia"/>
          <w:highlight w:val="none"/>
        </w:rPr>
        <w:br w:type="page"/>
      </w:r>
    </w:p>
    <w:p w14:paraId="78A3EA13">
      <w:pPr>
        <w:pStyle w:val="2"/>
        <w:tabs>
          <w:tab w:val="left" w:pos="0"/>
        </w:tabs>
        <w:spacing w:line="240" w:lineRule="atLeast"/>
        <w:rPr>
          <w:rFonts w:hint="eastAsia"/>
          <w:szCs w:val="32"/>
          <w:highlight w:val="none"/>
        </w:rPr>
      </w:pPr>
      <w:bookmarkStart w:id="559" w:name="_Toc30557"/>
      <w:bookmarkStart w:id="560" w:name="_Toc5219"/>
      <w:bookmarkStart w:id="561" w:name="_Toc11093"/>
      <w:bookmarkStart w:id="562" w:name="_Toc2126"/>
      <w:r>
        <w:rPr>
          <w:rFonts w:hint="eastAsia"/>
          <w:szCs w:val="32"/>
          <w:highlight w:val="none"/>
        </w:rPr>
        <w:t>第3章</w:t>
      </w:r>
      <w:bookmarkStart w:id="563" w:name="_Toc31583"/>
      <w:bookmarkStart w:id="564" w:name="_Toc507399903"/>
      <w:bookmarkStart w:id="565" w:name="_Toc216582823"/>
      <w:bookmarkStart w:id="566" w:name="_Toc4766814"/>
      <w:bookmarkStart w:id="567" w:name="_Toc10488"/>
      <w:bookmarkStart w:id="568" w:name="_Toc515647830"/>
      <w:r>
        <w:rPr>
          <w:rFonts w:hint="eastAsia"/>
          <w:szCs w:val="32"/>
          <w:highlight w:val="none"/>
        </w:rPr>
        <w:t xml:space="preserve"> </w:t>
      </w:r>
      <w:r>
        <w:rPr>
          <w:rFonts w:hint="eastAsia"/>
          <w:highlight w:val="none"/>
        </w:rPr>
        <w:t>供应商须知</w:t>
      </w:r>
      <w:r>
        <w:rPr>
          <w:rFonts w:hint="eastAsia"/>
          <w:szCs w:val="32"/>
          <w:highlight w:val="none"/>
        </w:rPr>
        <w:t>资料表</w:t>
      </w:r>
      <w:bookmarkEnd w:id="397"/>
      <w:bookmarkEnd w:id="559"/>
      <w:bookmarkEnd w:id="560"/>
      <w:bookmarkEnd w:id="561"/>
      <w:bookmarkEnd w:id="562"/>
      <w:bookmarkEnd w:id="563"/>
      <w:bookmarkEnd w:id="564"/>
      <w:bookmarkEnd w:id="565"/>
      <w:bookmarkEnd w:id="566"/>
      <w:bookmarkEnd w:id="567"/>
      <w:bookmarkEnd w:id="568"/>
    </w:p>
    <w:p w14:paraId="4357C407">
      <w:pPr>
        <w:wordWrap w:val="0"/>
        <w:ind w:firstLine="480" w:firstLineChars="200"/>
        <w:rPr>
          <w:rFonts w:hint="eastAsia"/>
          <w:highlight w:val="none"/>
        </w:rPr>
      </w:pPr>
      <w:r>
        <w:rPr>
          <w:rFonts w:hint="eastAsia"/>
          <w:highlight w:val="none"/>
        </w:rPr>
        <w:t>本表是本磋商项目的具体资料，是对供应商须知的具体补充和修改，如有矛盾，应以本资料表为准。</w:t>
      </w:r>
    </w:p>
    <w:tbl>
      <w:tblPr>
        <w:tblStyle w:val="31"/>
        <w:tblW w:w="97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9"/>
        <w:gridCol w:w="1738"/>
        <w:gridCol w:w="7082"/>
      </w:tblGrid>
      <w:tr w14:paraId="76DF3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49" w:type="dxa"/>
            <w:vAlign w:val="center"/>
          </w:tcPr>
          <w:p w14:paraId="19081464">
            <w:pPr>
              <w:spacing w:before="120" w:beforeLines="50" w:after="120" w:afterLines="50" w:line="264" w:lineRule="auto"/>
              <w:jc w:val="center"/>
              <w:rPr>
                <w:rFonts w:hint="eastAsia"/>
                <w:highlight w:val="none"/>
              </w:rPr>
            </w:pPr>
            <w:r>
              <w:rPr>
                <w:rFonts w:hint="eastAsia"/>
                <w:highlight w:val="none"/>
              </w:rPr>
              <w:t>条款号</w:t>
            </w:r>
          </w:p>
        </w:tc>
        <w:tc>
          <w:tcPr>
            <w:tcW w:w="1738" w:type="dxa"/>
            <w:vAlign w:val="center"/>
          </w:tcPr>
          <w:p w14:paraId="6602FD9E">
            <w:pPr>
              <w:spacing w:before="120" w:beforeLines="50" w:after="120" w:afterLines="50" w:line="264" w:lineRule="auto"/>
              <w:jc w:val="center"/>
              <w:rPr>
                <w:rFonts w:hint="eastAsia"/>
                <w:highlight w:val="none"/>
              </w:rPr>
            </w:pPr>
            <w:r>
              <w:rPr>
                <w:rFonts w:hint="eastAsia"/>
                <w:highlight w:val="none"/>
              </w:rPr>
              <w:t>条款名</w:t>
            </w:r>
          </w:p>
        </w:tc>
        <w:tc>
          <w:tcPr>
            <w:tcW w:w="7082" w:type="dxa"/>
            <w:vAlign w:val="center"/>
          </w:tcPr>
          <w:p w14:paraId="1BC88692">
            <w:pPr>
              <w:spacing w:before="120" w:beforeLines="50" w:after="120" w:afterLines="50" w:line="264" w:lineRule="auto"/>
              <w:jc w:val="center"/>
              <w:rPr>
                <w:rFonts w:hint="eastAsia"/>
                <w:highlight w:val="none"/>
              </w:rPr>
            </w:pPr>
            <w:r>
              <w:rPr>
                <w:rFonts w:hint="eastAsia"/>
                <w:highlight w:val="none"/>
              </w:rPr>
              <w:t>内容</w:t>
            </w:r>
          </w:p>
        </w:tc>
      </w:tr>
      <w:tr w14:paraId="49B0A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9" w:type="dxa"/>
            <w:vAlign w:val="center"/>
          </w:tcPr>
          <w:p w14:paraId="6D8BF92F">
            <w:pPr>
              <w:spacing w:before="120" w:beforeLines="50" w:after="120" w:afterLines="50" w:line="264" w:lineRule="auto"/>
              <w:jc w:val="center"/>
              <w:rPr>
                <w:rFonts w:hint="eastAsia"/>
                <w:highlight w:val="none"/>
              </w:rPr>
            </w:pPr>
            <w:r>
              <w:rPr>
                <w:rFonts w:hint="eastAsia"/>
                <w:highlight w:val="none"/>
              </w:rPr>
              <w:t>1</w:t>
            </w:r>
          </w:p>
        </w:tc>
        <w:tc>
          <w:tcPr>
            <w:tcW w:w="1738" w:type="dxa"/>
            <w:vAlign w:val="center"/>
          </w:tcPr>
          <w:p w14:paraId="2DE3714B">
            <w:pPr>
              <w:spacing w:before="120" w:beforeLines="50" w:after="120" w:afterLines="50" w:line="264" w:lineRule="auto"/>
              <w:jc w:val="center"/>
              <w:rPr>
                <w:rFonts w:hint="eastAsia"/>
                <w:highlight w:val="none"/>
              </w:rPr>
            </w:pPr>
            <w:r>
              <w:rPr>
                <w:rFonts w:hint="eastAsia"/>
                <w:highlight w:val="none"/>
              </w:rPr>
              <w:t>采购人</w:t>
            </w:r>
          </w:p>
        </w:tc>
        <w:tc>
          <w:tcPr>
            <w:tcW w:w="7082" w:type="dxa"/>
            <w:vAlign w:val="center"/>
          </w:tcPr>
          <w:p w14:paraId="097E0F69">
            <w:pPr>
              <w:spacing w:before="120" w:beforeLines="50" w:after="120" w:afterLines="50" w:line="264" w:lineRule="auto"/>
              <w:jc w:val="both"/>
              <w:rPr>
                <w:rFonts w:hint="eastAsia" w:eastAsia="宋体"/>
                <w:highlight w:val="none"/>
                <w:lang w:eastAsia="zh-CN"/>
              </w:rPr>
            </w:pPr>
            <w:r>
              <w:rPr>
                <w:rFonts w:hint="eastAsia"/>
                <w:highlight w:val="none"/>
              </w:rPr>
              <w:t>名称：</w:t>
            </w:r>
            <w:r>
              <w:rPr>
                <w:rFonts w:hint="eastAsia"/>
                <w:highlight w:val="none"/>
                <w:lang w:eastAsia="zh-CN"/>
              </w:rPr>
              <w:t>菏泽市住房和城乡建设局</w:t>
            </w:r>
          </w:p>
          <w:p w14:paraId="4421D55C">
            <w:pPr>
              <w:spacing w:before="120" w:beforeLines="50" w:after="120" w:afterLines="50" w:line="264" w:lineRule="auto"/>
              <w:jc w:val="both"/>
              <w:rPr>
                <w:rFonts w:hint="eastAsia"/>
                <w:highlight w:val="none"/>
              </w:rPr>
            </w:pPr>
            <w:r>
              <w:rPr>
                <w:rFonts w:hint="eastAsia"/>
                <w:highlight w:val="none"/>
              </w:rPr>
              <w:t>地址：</w:t>
            </w:r>
            <w:r>
              <w:rPr>
                <w:rFonts w:hint="eastAsia" w:ascii="宋体" w:hAnsi="宋体" w:eastAsia="宋体" w:cs="宋体"/>
                <w:highlight w:val="none"/>
                <w:lang w:eastAsia="zh-CN"/>
              </w:rPr>
              <w:t>菏泽市珠江路1877号</w:t>
            </w:r>
          </w:p>
          <w:p w14:paraId="6102F653">
            <w:pPr>
              <w:pStyle w:val="8"/>
              <w:ind w:firstLine="0"/>
              <w:jc w:val="both"/>
              <w:rPr>
                <w:rFonts w:hint="default" w:eastAsia="宋体"/>
                <w:highlight w:val="none"/>
                <w:lang w:val="en-US" w:eastAsia="zh-CN"/>
              </w:rPr>
            </w:pPr>
            <w:r>
              <w:rPr>
                <w:rFonts w:hint="eastAsia"/>
                <w:highlight w:val="none"/>
              </w:rPr>
              <w:t>联系</w:t>
            </w:r>
            <w:r>
              <w:rPr>
                <w:rFonts w:hint="eastAsia" w:ascii="宋体" w:hAnsi="宋体" w:eastAsia="宋体" w:cs="宋体"/>
                <w:kern w:val="2"/>
                <w:sz w:val="24"/>
                <w:szCs w:val="24"/>
                <w:highlight w:val="none"/>
                <w:lang w:val="en-US" w:eastAsia="zh-CN" w:bidi="ar-SA"/>
              </w:rPr>
              <w:t>人：李主任      电话：0530-5160629</w:t>
            </w:r>
          </w:p>
        </w:tc>
      </w:tr>
      <w:tr w14:paraId="109C9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9" w:type="dxa"/>
            <w:vAlign w:val="center"/>
          </w:tcPr>
          <w:p w14:paraId="192C6CD2">
            <w:pPr>
              <w:spacing w:before="120" w:beforeLines="50" w:after="120" w:afterLines="50" w:line="264" w:lineRule="auto"/>
              <w:jc w:val="center"/>
              <w:rPr>
                <w:rFonts w:hint="eastAsia"/>
                <w:highlight w:val="none"/>
              </w:rPr>
            </w:pPr>
            <w:r>
              <w:rPr>
                <w:rFonts w:hint="eastAsia"/>
                <w:highlight w:val="none"/>
              </w:rPr>
              <w:t>2</w:t>
            </w:r>
          </w:p>
        </w:tc>
        <w:tc>
          <w:tcPr>
            <w:tcW w:w="1738" w:type="dxa"/>
            <w:vAlign w:val="center"/>
          </w:tcPr>
          <w:p w14:paraId="58576331">
            <w:pPr>
              <w:spacing w:before="120" w:beforeLines="50" w:after="120" w:afterLines="50" w:line="264" w:lineRule="auto"/>
              <w:jc w:val="center"/>
              <w:rPr>
                <w:rFonts w:hint="eastAsia"/>
                <w:highlight w:val="none"/>
              </w:rPr>
            </w:pPr>
            <w:r>
              <w:rPr>
                <w:rFonts w:hint="eastAsia"/>
                <w:highlight w:val="none"/>
              </w:rPr>
              <w:t>采购代理机构</w:t>
            </w:r>
          </w:p>
        </w:tc>
        <w:tc>
          <w:tcPr>
            <w:tcW w:w="7082" w:type="dxa"/>
            <w:vAlign w:val="center"/>
          </w:tcPr>
          <w:p w14:paraId="2B8543C4">
            <w:pPr>
              <w:spacing w:before="120" w:beforeLines="50" w:after="120" w:afterLines="50" w:line="264" w:lineRule="auto"/>
              <w:jc w:val="both"/>
              <w:rPr>
                <w:rFonts w:hint="eastAsia"/>
                <w:highlight w:val="none"/>
              </w:rPr>
            </w:pPr>
            <w:r>
              <w:rPr>
                <w:rFonts w:hint="eastAsia"/>
                <w:highlight w:val="none"/>
              </w:rPr>
              <w:t>名称：山东东盛建设项目管理有限公司</w:t>
            </w:r>
          </w:p>
          <w:p w14:paraId="32857E6F">
            <w:pPr>
              <w:spacing w:before="120" w:beforeLines="50" w:after="120" w:afterLines="50" w:line="264" w:lineRule="auto"/>
              <w:jc w:val="both"/>
              <w:rPr>
                <w:rFonts w:hint="eastAsia"/>
                <w:highlight w:val="none"/>
              </w:rPr>
            </w:pPr>
            <w:r>
              <w:rPr>
                <w:rFonts w:hint="eastAsia"/>
                <w:highlight w:val="none"/>
              </w:rPr>
              <w:t>地址：菏泽市牡丹区长江西路龙泽花园办公楼三楼</w:t>
            </w:r>
          </w:p>
          <w:p w14:paraId="4650460F">
            <w:pPr>
              <w:spacing w:before="120" w:beforeLines="50" w:after="120" w:afterLines="50" w:line="264" w:lineRule="auto"/>
              <w:jc w:val="both"/>
              <w:rPr>
                <w:rFonts w:hint="default" w:eastAsia="宋体"/>
                <w:highlight w:val="none"/>
                <w:lang w:val="en-US" w:eastAsia="zh-CN"/>
              </w:rPr>
            </w:pPr>
            <w:r>
              <w:rPr>
                <w:rFonts w:hint="eastAsia"/>
                <w:highlight w:val="none"/>
              </w:rPr>
              <w:t>联系人：</w:t>
            </w:r>
            <w:r>
              <w:rPr>
                <w:rFonts w:hint="eastAsia"/>
                <w:highlight w:val="none"/>
                <w:lang w:val="en-US" w:eastAsia="zh-CN"/>
              </w:rPr>
              <w:t>杨经理</w:t>
            </w:r>
            <w:r>
              <w:rPr>
                <w:rFonts w:hint="eastAsia"/>
                <w:highlight w:val="none"/>
              </w:rPr>
              <w:t>　　  电话：</w:t>
            </w:r>
            <w:r>
              <w:rPr>
                <w:rFonts w:hint="eastAsia"/>
                <w:highlight w:val="none"/>
                <w:lang w:val="en-US" w:eastAsia="zh-CN"/>
              </w:rPr>
              <w:t>18661517599</w:t>
            </w:r>
          </w:p>
        </w:tc>
      </w:tr>
      <w:tr w14:paraId="3D91A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9" w:type="dxa"/>
            <w:vAlign w:val="center"/>
          </w:tcPr>
          <w:p w14:paraId="6155042A">
            <w:pPr>
              <w:spacing w:before="120" w:beforeLines="50" w:after="120" w:afterLines="50" w:line="264" w:lineRule="auto"/>
              <w:jc w:val="center"/>
              <w:rPr>
                <w:rFonts w:hint="eastAsia"/>
                <w:highlight w:val="none"/>
              </w:rPr>
            </w:pPr>
            <w:r>
              <w:rPr>
                <w:rFonts w:hint="eastAsia"/>
                <w:highlight w:val="none"/>
              </w:rPr>
              <w:t>3</w:t>
            </w:r>
          </w:p>
        </w:tc>
        <w:tc>
          <w:tcPr>
            <w:tcW w:w="1738" w:type="dxa"/>
            <w:vAlign w:val="center"/>
          </w:tcPr>
          <w:p w14:paraId="158DA0F8">
            <w:pPr>
              <w:spacing w:before="120" w:beforeLines="50" w:after="120" w:afterLines="50" w:line="264" w:lineRule="auto"/>
              <w:jc w:val="center"/>
              <w:rPr>
                <w:rFonts w:hint="eastAsia"/>
                <w:highlight w:val="none"/>
              </w:rPr>
            </w:pPr>
            <w:r>
              <w:rPr>
                <w:rFonts w:hint="eastAsia"/>
                <w:highlight w:val="none"/>
              </w:rPr>
              <w:t>合格供应商的资格要求</w:t>
            </w:r>
          </w:p>
        </w:tc>
        <w:tc>
          <w:tcPr>
            <w:tcW w:w="7082" w:type="dxa"/>
            <w:vAlign w:val="center"/>
          </w:tcPr>
          <w:p w14:paraId="7564F82C">
            <w:pPr>
              <w:spacing w:before="120" w:beforeLines="50" w:after="120" w:afterLines="50" w:line="264" w:lineRule="auto"/>
              <w:jc w:val="both"/>
              <w:rPr>
                <w:rFonts w:hint="eastAsia"/>
                <w:highlight w:val="none"/>
              </w:rPr>
            </w:pPr>
            <w:r>
              <w:rPr>
                <w:rFonts w:hint="eastAsia"/>
                <w:highlight w:val="none"/>
              </w:rPr>
              <w:t>详见竞争性磋商公告申请人的资格要求</w:t>
            </w:r>
          </w:p>
        </w:tc>
      </w:tr>
      <w:tr w14:paraId="4B23B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949" w:type="dxa"/>
            <w:vAlign w:val="center"/>
          </w:tcPr>
          <w:p w14:paraId="1774A688">
            <w:pPr>
              <w:spacing w:before="120" w:beforeLines="50" w:after="120" w:afterLines="50" w:line="264" w:lineRule="auto"/>
              <w:jc w:val="center"/>
              <w:rPr>
                <w:rFonts w:hint="eastAsia"/>
                <w:highlight w:val="none"/>
              </w:rPr>
            </w:pPr>
            <w:r>
              <w:rPr>
                <w:rFonts w:hint="eastAsia"/>
                <w:highlight w:val="none"/>
              </w:rPr>
              <w:t>4</w:t>
            </w:r>
          </w:p>
        </w:tc>
        <w:tc>
          <w:tcPr>
            <w:tcW w:w="1738" w:type="dxa"/>
            <w:vAlign w:val="center"/>
          </w:tcPr>
          <w:p w14:paraId="71257097">
            <w:pPr>
              <w:spacing w:before="120" w:beforeLines="50" w:after="120" w:afterLines="50" w:line="264" w:lineRule="auto"/>
              <w:jc w:val="center"/>
              <w:rPr>
                <w:rFonts w:hint="eastAsia"/>
                <w:highlight w:val="none"/>
              </w:rPr>
            </w:pPr>
            <w:r>
              <w:rPr>
                <w:rFonts w:hint="eastAsia"/>
                <w:highlight w:val="none"/>
              </w:rPr>
              <w:t>资金来源</w:t>
            </w:r>
          </w:p>
        </w:tc>
        <w:tc>
          <w:tcPr>
            <w:tcW w:w="7082" w:type="dxa"/>
            <w:vAlign w:val="center"/>
          </w:tcPr>
          <w:p w14:paraId="445D521B">
            <w:pPr>
              <w:spacing w:before="120" w:beforeLines="50" w:after="120" w:afterLines="50" w:line="264" w:lineRule="auto"/>
              <w:jc w:val="both"/>
              <w:rPr>
                <w:rFonts w:hint="eastAsia" w:eastAsia="宋体"/>
                <w:highlight w:val="none"/>
                <w:lang w:eastAsia="zh-CN"/>
              </w:rPr>
            </w:pPr>
            <w:r>
              <w:rPr>
                <w:rFonts w:hint="eastAsia"/>
                <w:highlight w:val="none"/>
                <w:lang w:val="en-US" w:eastAsia="zh-CN"/>
              </w:rPr>
              <w:t>财政</w:t>
            </w:r>
            <w:r>
              <w:rPr>
                <w:rFonts w:hint="eastAsia"/>
                <w:highlight w:val="none"/>
                <w:lang w:eastAsia="zh-CN"/>
              </w:rPr>
              <w:t>资金</w:t>
            </w:r>
          </w:p>
        </w:tc>
      </w:tr>
      <w:tr w14:paraId="12B18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949" w:type="dxa"/>
            <w:vAlign w:val="center"/>
          </w:tcPr>
          <w:p w14:paraId="34FEEEFE">
            <w:pPr>
              <w:spacing w:before="120" w:beforeLines="50" w:after="120" w:afterLines="50" w:line="264" w:lineRule="auto"/>
              <w:jc w:val="center"/>
              <w:rPr>
                <w:rFonts w:hint="eastAsia"/>
                <w:highlight w:val="none"/>
              </w:rPr>
            </w:pPr>
            <w:r>
              <w:rPr>
                <w:rFonts w:hint="eastAsia"/>
                <w:highlight w:val="none"/>
              </w:rPr>
              <w:t>5</w:t>
            </w:r>
          </w:p>
        </w:tc>
        <w:tc>
          <w:tcPr>
            <w:tcW w:w="1738" w:type="dxa"/>
            <w:vAlign w:val="center"/>
          </w:tcPr>
          <w:p w14:paraId="332355A0">
            <w:pPr>
              <w:spacing w:before="120" w:beforeLines="50" w:after="120" w:afterLines="50" w:line="264" w:lineRule="auto"/>
              <w:jc w:val="center"/>
              <w:rPr>
                <w:rFonts w:hint="eastAsia"/>
                <w:highlight w:val="none"/>
              </w:rPr>
            </w:pPr>
            <w:r>
              <w:rPr>
                <w:rFonts w:hint="eastAsia"/>
                <w:highlight w:val="none"/>
              </w:rPr>
              <w:t>联合体报价</w:t>
            </w:r>
          </w:p>
        </w:tc>
        <w:tc>
          <w:tcPr>
            <w:tcW w:w="7082" w:type="dxa"/>
            <w:vAlign w:val="center"/>
          </w:tcPr>
          <w:p w14:paraId="6D989C4F">
            <w:pPr>
              <w:spacing w:before="120" w:beforeLines="50" w:after="120" w:afterLines="50" w:line="264" w:lineRule="auto"/>
              <w:jc w:val="both"/>
              <w:rPr>
                <w:rFonts w:hint="eastAsia"/>
                <w:highlight w:val="none"/>
              </w:rPr>
            </w:pPr>
            <w:r>
              <w:rPr>
                <w:rFonts w:hint="eastAsia"/>
                <w:highlight w:val="none"/>
              </w:rPr>
              <w:t>不允许</w:t>
            </w:r>
          </w:p>
        </w:tc>
      </w:tr>
      <w:tr w14:paraId="27633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949" w:type="dxa"/>
            <w:vAlign w:val="center"/>
          </w:tcPr>
          <w:p w14:paraId="3F1FE7DB">
            <w:pPr>
              <w:spacing w:before="120" w:beforeLines="50" w:after="120" w:afterLines="50" w:line="264" w:lineRule="auto"/>
              <w:jc w:val="center"/>
              <w:rPr>
                <w:rFonts w:hint="eastAsia"/>
                <w:highlight w:val="none"/>
              </w:rPr>
            </w:pPr>
            <w:r>
              <w:rPr>
                <w:rFonts w:hint="eastAsia"/>
                <w:highlight w:val="none"/>
              </w:rPr>
              <w:t>6</w:t>
            </w:r>
          </w:p>
        </w:tc>
        <w:tc>
          <w:tcPr>
            <w:tcW w:w="1738" w:type="dxa"/>
            <w:vAlign w:val="center"/>
          </w:tcPr>
          <w:p w14:paraId="460E8996">
            <w:pPr>
              <w:spacing w:before="120" w:beforeLines="50" w:after="120" w:afterLines="50" w:line="264" w:lineRule="auto"/>
              <w:jc w:val="center"/>
              <w:rPr>
                <w:rFonts w:hint="eastAsia"/>
                <w:b/>
                <w:bCs/>
                <w:highlight w:val="none"/>
              </w:rPr>
            </w:pPr>
            <w:r>
              <w:rPr>
                <w:rFonts w:hint="eastAsia"/>
                <w:b/>
                <w:bCs/>
                <w:highlight w:val="none"/>
              </w:rPr>
              <w:t>电子报价</w:t>
            </w:r>
          </w:p>
        </w:tc>
        <w:tc>
          <w:tcPr>
            <w:tcW w:w="7082" w:type="dxa"/>
            <w:vAlign w:val="center"/>
          </w:tcPr>
          <w:p w14:paraId="36C10ED8">
            <w:pPr>
              <w:spacing w:before="120" w:beforeLines="50" w:after="120" w:afterLines="50" w:line="264" w:lineRule="auto"/>
              <w:jc w:val="both"/>
              <w:rPr>
                <w:rFonts w:hint="eastAsia"/>
                <w:b/>
                <w:bCs/>
                <w:highlight w:val="none"/>
              </w:rPr>
            </w:pPr>
            <w:r>
              <w:rPr>
                <w:rFonts w:hint="eastAsia"/>
                <w:b/>
                <w:bCs/>
                <w:highlight w:val="none"/>
              </w:rPr>
              <w:t>本项目采用不见面电子报价</w:t>
            </w:r>
          </w:p>
        </w:tc>
      </w:tr>
      <w:tr w14:paraId="2985E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49" w:type="dxa"/>
            <w:vAlign w:val="center"/>
          </w:tcPr>
          <w:p w14:paraId="240E48EC">
            <w:pPr>
              <w:spacing w:before="120" w:beforeLines="50" w:after="120" w:afterLines="50" w:line="264" w:lineRule="auto"/>
              <w:jc w:val="center"/>
              <w:rPr>
                <w:rFonts w:hint="eastAsia"/>
                <w:highlight w:val="none"/>
              </w:rPr>
            </w:pPr>
            <w:r>
              <w:rPr>
                <w:rFonts w:hint="eastAsia"/>
                <w:highlight w:val="none"/>
              </w:rPr>
              <w:t>7</w:t>
            </w:r>
          </w:p>
        </w:tc>
        <w:tc>
          <w:tcPr>
            <w:tcW w:w="1738" w:type="dxa"/>
            <w:vAlign w:val="center"/>
          </w:tcPr>
          <w:p w14:paraId="531045DF">
            <w:pPr>
              <w:spacing w:before="120" w:beforeLines="50" w:after="120" w:afterLines="50" w:line="264" w:lineRule="auto"/>
              <w:jc w:val="center"/>
              <w:rPr>
                <w:rFonts w:hint="eastAsia"/>
                <w:highlight w:val="none"/>
              </w:rPr>
            </w:pPr>
            <w:r>
              <w:rPr>
                <w:rFonts w:hint="eastAsia"/>
                <w:highlight w:val="none"/>
              </w:rPr>
              <w:t>提交响应文件截止时间及地点、报价时间及地点</w:t>
            </w:r>
          </w:p>
        </w:tc>
        <w:tc>
          <w:tcPr>
            <w:tcW w:w="7082" w:type="dxa"/>
            <w:vAlign w:val="center"/>
          </w:tcPr>
          <w:p w14:paraId="11943DCC">
            <w:pPr>
              <w:spacing w:before="120" w:beforeLines="50" w:after="120" w:afterLines="50" w:line="264" w:lineRule="auto"/>
              <w:jc w:val="both"/>
              <w:rPr>
                <w:rFonts w:hint="eastAsia"/>
                <w:b/>
                <w:highlight w:val="none"/>
              </w:rPr>
            </w:pPr>
            <w:r>
              <w:rPr>
                <w:rFonts w:hint="eastAsia"/>
                <w:b/>
                <w:highlight w:val="none"/>
              </w:rPr>
              <w:t>时间：</w:t>
            </w:r>
            <w:r>
              <w:rPr>
                <w:rFonts w:hint="eastAsia"/>
                <w:b/>
                <w:highlight w:val="none"/>
                <w:u w:val="single"/>
              </w:rPr>
              <w:t>2025年</w:t>
            </w:r>
            <w:r>
              <w:rPr>
                <w:rFonts w:hint="eastAsia"/>
                <w:b/>
                <w:highlight w:val="none"/>
                <w:u w:val="single"/>
                <w:lang w:val="en-US" w:eastAsia="zh-CN"/>
              </w:rPr>
              <w:t>11</w:t>
            </w:r>
            <w:r>
              <w:rPr>
                <w:rFonts w:hint="eastAsia"/>
                <w:b/>
                <w:highlight w:val="none"/>
                <w:u w:val="single"/>
              </w:rPr>
              <w:t>月</w:t>
            </w:r>
            <w:r>
              <w:rPr>
                <w:rFonts w:hint="eastAsia"/>
                <w:b/>
                <w:highlight w:val="none"/>
                <w:u w:val="single"/>
                <w:lang w:val="en-US" w:eastAsia="zh-CN"/>
              </w:rPr>
              <w:t>04</w:t>
            </w:r>
            <w:r>
              <w:rPr>
                <w:rFonts w:hint="eastAsia"/>
                <w:b/>
                <w:highlight w:val="none"/>
                <w:u w:val="single"/>
              </w:rPr>
              <w:t>日09</w:t>
            </w:r>
            <w:r>
              <w:rPr>
                <w:rFonts w:hint="eastAsia"/>
                <w:b/>
                <w:highlight w:val="none"/>
                <w:u w:val="single"/>
                <w:lang w:eastAsia="zh-CN"/>
              </w:rPr>
              <w:t>：</w:t>
            </w:r>
            <w:r>
              <w:rPr>
                <w:rFonts w:hint="eastAsia"/>
                <w:b/>
                <w:highlight w:val="none"/>
                <w:u w:val="single"/>
              </w:rPr>
              <w:t>00</w:t>
            </w:r>
            <w:r>
              <w:rPr>
                <w:rFonts w:hint="eastAsia"/>
                <w:b/>
                <w:highlight w:val="none"/>
                <w:u w:val="single"/>
                <w:lang w:val="en-US" w:eastAsia="zh-CN"/>
              </w:rPr>
              <w:t>时</w:t>
            </w:r>
            <w:r>
              <w:rPr>
                <w:rFonts w:hint="eastAsia"/>
                <w:b/>
                <w:highlight w:val="none"/>
                <w:u w:val="single"/>
              </w:rPr>
              <w:t>整</w:t>
            </w:r>
          </w:p>
          <w:p w14:paraId="7F137BEB">
            <w:pPr>
              <w:spacing w:before="120" w:beforeLines="50" w:after="120" w:afterLines="50" w:line="264" w:lineRule="auto"/>
              <w:jc w:val="both"/>
              <w:rPr>
                <w:rFonts w:hint="eastAsia"/>
                <w:bCs/>
                <w:highlight w:val="none"/>
              </w:rPr>
            </w:pPr>
            <w:r>
              <w:rPr>
                <w:rFonts w:hint="eastAsia"/>
                <w:bCs/>
                <w:highlight w:val="none"/>
              </w:rPr>
              <w:t>报价地点：本项目实行网上远程不见面磋商，供应商无需到达磋商现场，可自行选择任意地点登录</w:t>
            </w:r>
            <w:r>
              <w:rPr>
                <w:rFonts w:hint="eastAsia"/>
                <w:bCs/>
                <w:highlight w:val="none"/>
                <w:lang w:eastAsia="zh-CN"/>
              </w:rPr>
              <w:t>鲁采采电子招投标交易平台</w:t>
            </w:r>
            <w:r>
              <w:rPr>
                <w:rFonts w:hint="eastAsia"/>
                <w:bCs/>
                <w:highlight w:val="none"/>
              </w:rPr>
              <w:t>参加磋商。供应商若解密失败或因自身原因无法解密的，自行承担责任。</w:t>
            </w:r>
          </w:p>
        </w:tc>
      </w:tr>
      <w:tr w14:paraId="5E9E0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949" w:type="dxa"/>
            <w:vAlign w:val="center"/>
          </w:tcPr>
          <w:p w14:paraId="119ABF30">
            <w:pPr>
              <w:spacing w:before="120" w:beforeLines="50" w:after="120" w:afterLines="50" w:line="264" w:lineRule="auto"/>
              <w:jc w:val="center"/>
              <w:rPr>
                <w:rFonts w:hint="eastAsia"/>
                <w:highlight w:val="none"/>
              </w:rPr>
            </w:pPr>
            <w:r>
              <w:rPr>
                <w:rFonts w:hint="eastAsia"/>
                <w:highlight w:val="none"/>
              </w:rPr>
              <w:t>8</w:t>
            </w:r>
          </w:p>
        </w:tc>
        <w:tc>
          <w:tcPr>
            <w:tcW w:w="1738" w:type="dxa"/>
            <w:vAlign w:val="center"/>
          </w:tcPr>
          <w:p w14:paraId="78A5589E">
            <w:pPr>
              <w:spacing w:before="120" w:beforeLines="50" w:after="120" w:afterLines="50" w:line="264" w:lineRule="auto"/>
              <w:jc w:val="center"/>
              <w:rPr>
                <w:rFonts w:hint="eastAsia"/>
                <w:highlight w:val="none"/>
              </w:rPr>
            </w:pPr>
            <w:r>
              <w:rPr>
                <w:rFonts w:hint="eastAsia"/>
                <w:highlight w:val="none"/>
              </w:rPr>
              <w:t>评审方法</w:t>
            </w:r>
          </w:p>
        </w:tc>
        <w:tc>
          <w:tcPr>
            <w:tcW w:w="7082" w:type="dxa"/>
            <w:vAlign w:val="center"/>
          </w:tcPr>
          <w:p w14:paraId="7A45B0D6">
            <w:pPr>
              <w:spacing w:before="120" w:beforeLines="50" w:after="120" w:afterLines="50" w:line="264" w:lineRule="auto"/>
              <w:jc w:val="both"/>
              <w:rPr>
                <w:rFonts w:hint="eastAsia"/>
                <w:bCs/>
                <w:highlight w:val="none"/>
              </w:rPr>
            </w:pPr>
            <w:r>
              <w:rPr>
                <w:rFonts w:hint="eastAsia"/>
                <w:bCs/>
                <w:highlight w:val="none"/>
              </w:rPr>
              <w:t>综合评分法</w:t>
            </w:r>
          </w:p>
        </w:tc>
      </w:tr>
      <w:tr w14:paraId="53F7B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9" w:type="dxa"/>
            <w:vAlign w:val="center"/>
          </w:tcPr>
          <w:p w14:paraId="6EF13055">
            <w:pPr>
              <w:spacing w:before="120" w:beforeLines="50" w:after="120" w:afterLines="50" w:line="264" w:lineRule="auto"/>
              <w:jc w:val="center"/>
              <w:rPr>
                <w:rFonts w:hint="eastAsia"/>
                <w:highlight w:val="none"/>
              </w:rPr>
            </w:pPr>
            <w:r>
              <w:rPr>
                <w:rFonts w:hint="eastAsia"/>
                <w:highlight w:val="none"/>
              </w:rPr>
              <w:t>9</w:t>
            </w:r>
          </w:p>
        </w:tc>
        <w:tc>
          <w:tcPr>
            <w:tcW w:w="1738" w:type="dxa"/>
            <w:vAlign w:val="center"/>
          </w:tcPr>
          <w:p w14:paraId="35D80FC9">
            <w:pPr>
              <w:spacing w:before="120" w:beforeLines="50" w:after="120" w:afterLines="50" w:line="264" w:lineRule="auto"/>
              <w:jc w:val="center"/>
              <w:rPr>
                <w:rFonts w:hint="eastAsia"/>
                <w:highlight w:val="none"/>
              </w:rPr>
            </w:pPr>
            <w:r>
              <w:rPr>
                <w:rFonts w:hint="eastAsia"/>
                <w:highlight w:val="none"/>
              </w:rPr>
              <w:t>采购人是否委托磋商小组直接确定成交供应商</w:t>
            </w:r>
          </w:p>
        </w:tc>
        <w:tc>
          <w:tcPr>
            <w:tcW w:w="7082" w:type="dxa"/>
            <w:vAlign w:val="center"/>
          </w:tcPr>
          <w:p w14:paraId="3CE262DE">
            <w:pPr>
              <w:spacing w:before="120" w:beforeLines="50" w:after="120" w:afterLines="50" w:line="264" w:lineRule="auto"/>
              <w:jc w:val="both"/>
              <w:rPr>
                <w:rFonts w:hint="eastAsia"/>
                <w:highlight w:val="none"/>
              </w:rPr>
            </w:pPr>
            <w:r>
              <w:rPr>
                <w:rFonts w:hint="eastAsia"/>
                <w:highlight w:val="none"/>
              </w:rPr>
              <w:t>否</w:t>
            </w:r>
          </w:p>
        </w:tc>
      </w:tr>
      <w:tr w14:paraId="3D243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49" w:type="dxa"/>
            <w:vAlign w:val="center"/>
          </w:tcPr>
          <w:p w14:paraId="615F05BA">
            <w:pPr>
              <w:spacing w:before="120" w:beforeLines="50" w:after="120" w:afterLines="50" w:line="264" w:lineRule="auto"/>
              <w:jc w:val="center"/>
              <w:rPr>
                <w:rFonts w:hint="eastAsia"/>
                <w:highlight w:val="none"/>
              </w:rPr>
            </w:pPr>
            <w:r>
              <w:rPr>
                <w:rFonts w:hint="eastAsia"/>
                <w:highlight w:val="none"/>
              </w:rPr>
              <w:t>10</w:t>
            </w:r>
          </w:p>
        </w:tc>
        <w:tc>
          <w:tcPr>
            <w:tcW w:w="1738" w:type="dxa"/>
            <w:vAlign w:val="center"/>
          </w:tcPr>
          <w:p w14:paraId="156B9E91">
            <w:pPr>
              <w:spacing w:before="120" w:beforeLines="50" w:after="120" w:afterLines="50" w:line="264" w:lineRule="auto"/>
              <w:jc w:val="center"/>
              <w:rPr>
                <w:rFonts w:hint="eastAsia"/>
                <w:highlight w:val="none"/>
              </w:rPr>
            </w:pPr>
            <w:r>
              <w:rPr>
                <w:rFonts w:hint="eastAsia"/>
                <w:highlight w:val="none"/>
              </w:rPr>
              <w:t>最高限价</w:t>
            </w:r>
          </w:p>
        </w:tc>
        <w:tc>
          <w:tcPr>
            <w:tcW w:w="7082" w:type="dxa"/>
            <w:vAlign w:val="center"/>
          </w:tcPr>
          <w:p w14:paraId="72C1CD46">
            <w:pPr>
              <w:spacing w:before="120" w:beforeLines="50" w:after="120" w:afterLines="50" w:line="264" w:lineRule="auto"/>
              <w:jc w:val="both"/>
              <w:rPr>
                <w:b/>
                <w:bCs/>
                <w:spacing w:val="-2"/>
                <w:highlight w:val="none"/>
              </w:rPr>
            </w:pPr>
            <w:r>
              <w:rPr>
                <w:b/>
                <w:bCs/>
                <w:spacing w:val="-2"/>
                <w:highlight w:val="none"/>
              </w:rPr>
              <w:t>A</w:t>
            </w:r>
            <w:r>
              <w:rPr>
                <w:spacing w:val="-37"/>
                <w:highlight w:val="none"/>
              </w:rPr>
              <w:t xml:space="preserve"> </w:t>
            </w:r>
            <w:r>
              <w:rPr>
                <w:b/>
                <w:bCs/>
                <w:spacing w:val="-2"/>
                <w:highlight w:val="none"/>
              </w:rPr>
              <w:t>包：</w:t>
            </w:r>
            <w:r>
              <w:rPr>
                <w:rFonts w:hint="eastAsia"/>
                <w:b/>
                <w:bCs/>
                <w:spacing w:val="-2"/>
                <w:highlight w:val="none"/>
                <w:lang w:val="en-US" w:eastAsia="zh-CN"/>
              </w:rPr>
              <w:t>716600.00</w:t>
            </w:r>
            <w:r>
              <w:rPr>
                <w:b/>
                <w:bCs/>
                <w:spacing w:val="-2"/>
                <w:highlight w:val="none"/>
              </w:rPr>
              <w:t>元</w:t>
            </w:r>
            <w:r>
              <w:rPr>
                <w:rFonts w:hint="eastAsia"/>
                <w:b/>
                <w:bCs/>
                <w:spacing w:val="-2"/>
                <w:highlight w:val="none"/>
                <w:lang w:eastAsia="zh-CN"/>
              </w:rPr>
              <w:t>（</w:t>
            </w:r>
            <w:r>
              <w:rPr>
                <w:rFonts w:hint="eastAsia"/>
                <w:b/>
                <w:bCs/>
                <w:spacing w:val="-2"/>
                <w:highlight w:val="none"/>
                <w:lang w:val="en-US" w:eastAsia="zh-CN"/>
              </w:rPr>
              <w:t>柒拾壹万陆仟陆佰元整</w:t>
            </w:r>
            <w:r>
              <w:rPr>
                <w:rFonts w:hint="eastAsia"/>
                <w:b/>
                <w:bCs/>
                <w:spacing w:val="-2"/>
                <w:highlight w:val="none"/>
                <w:lang w:eastAsia="zh-CN"/>
              </w:rPr>
              <w:t>）</w:t>
            </w:r>
            <w:r>
              <w:rPr>
                <w:b/>
                <w:bCs/>
                <w:spacing w:val="-2"/>
                <w:highlight w:val="none"/>
              </w:rPr>
              <w:t>；</w:t>
            </w:r>
          </w:p>
          <w:p w14:paraId="592C3727">
            <w:pPr>
              <w:spacing w:before="120" w:beforeLines="50" w:after="120" w:afterLines="50" w:line="264" w:lineRule="auto"/>
              <w:jc w:val="both"/>
              <w:rPr>
                <w:rFonts w:hint="eastAsia"/>
                <w:b/>
                <w:bCs/>
                <w:highlight w:val="none"/>
              </w:rPr>
            </w:pPr>
            <w:r>
              <w:rPr>
                <w:b/>
                <w:bCs/>
                <w:spacing w:val="-2"/>
                <w:highlight w:val="none"/>
              </w:rPr>
              <w:t>B</w:t>
            </w:r>
            <w:r>
              <w:rPr>
                <w:spacing w:val="-42"/>
                <w:highlight w:val="none"/>
              </w:rPr>
              <w:t xml:space="preserve"> </w:t>
            </w:r>
            <w:r>
              <w:rPr>
                <w:b/>
                <w:bCs/>
                <w:spacing w:val="-2"/>
                <w:highlight w:val="none"/>
              </w:rPr>
              <w:t>包</w:t>
            </w:r>
            <w:r>
              <w:rPr>
                <w:rFonts w:hint="eastAsia"/>
                <w:b/>
                <w:bCs/>
                <w:spacing w:val="-2"/>
                <w:highlight w:val="none"/>
                <w:lang w:eastAsia="zh-CN"/>
              </w:rPr>
              <w:t>：</w:t>
            </w:r>
            <w:r>
              <w:rPr>
                <w:rFonts w:hint="eastAsia"/>
                <w:b/>
                <w:bCs/>
                <w:spacing w:val="-2"/>
                <w:highlight w:val="none"/>
                <w:lang w:val="en-US" w:eastAsia="zh-CN"/>
              </w:rPr>
              <w:t>716600.00</w:t>
            </w:r>
            <w:r>
              <w:rPr>
                <w:b/>
                <w:bCs/>
                <w:spacing w:val="-2"/>
                <w:highlight w:val="none"/>
              </w:rPr>
              <w:t>元</w:t>
            </w:r>
            <w:r>
              <w:rPr>
                <w:rFonts w:hint="eastAsia"/>
                <w:b/>
                <w:bCs/>
                <w:spacing w:val="-2"/>
                <w:highlight w:val="none"/>
                <w:lang w:eastAsia="zh-CN"/>
              </w:rPr>
              <w:t>（</w:t>
            </w:r>
            <w:r>
              <w:rPr>
                <w:rFonts w:hint="eastAsia"/>
                <w:b/>
                <w:bCs/>
                <w:spacing w:val="-2"/>
                <w:highlight w:val="none"/>
                <w:lang w:val="en-US" w:eastAsia="zh-CN"/>
              </w:rPr>
              <w:t>柒拾壹万陆仟陆佰元整</w:t>
            </w:r>
            <w:r>
              <w:rPr>
                <w:rFonts w:hint="eastAsia"/>
                <w:b/>
                <w:bCs/>
                <w:spacing w:val="-2"/>
                <w:highlight w:val="none"/>
                <w:lang w:eastAsia="zh-CN"/>
              </w:rPr>
              <w:t>）；</w:t>
            </w:r>
          </w:p>
          <w:p w14:paraId="1F1C30CE">
            <w:pPr>
              <w:spacing w:before="120" w:beforeLines="50" w:after="120" w:afterLines="50" w:line="264" w:lineRule="auto"/>
              <w:jc w:val="both"/>
              <w:rPr>
                <w:rFonts w:hint="eastAsia"/>
                <w:highlight w:val="none"/>
              </w:rPr>
            </w:pPr>
            <w:r>
              <w:rPr>
                <w:rFonts w:hint="eastAsia" w:ascii="宋体" w:hAnsi="宋体" w:eastAsia="宋体" w:cs="宋体"/>
                <w:b/>
                <w:bCs/>
                <w:sz w:val="24"/>
                <w:szCs w:val="24"/>
                <w:highlight w:val="none"/>
                <w:lang w:val="en-US" w:eastAsia="zh-CN"/>
              </w:rPr>
              <w:t>注：供应商报价高于最高限价的，视为无效投标</w:t>
            </w:r>
            <w:r>
              <w:rPr>
                <w:rFonts w:hint="eastAsia" w:cs="宋体"/>
                <w:b/>
                <w:bCs/>
                <w:sz w:val="24"/>
                <w:szCs w:val="24"/>
                <w:highlight w:val="none"/>
                <w:lang w:val="en-US" w:eastAsia="zh-CN"/>
              </w:rPr>
              <w:t>。</w:t>
            </w:r>
          </w:p>
        </w:tc>
      </w:tr>
      <w:tr w14:paraId="3071A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49" w:type="dxa"/>
            <w:vMerge w:val="restart"/>
            <w:vAlign w:val="center"/>
          </w:tcPr>
          <w:p w14:paraId="3272DBAE">
            <w:pPr>
              <w:spacing w:before="120" w:beforeLines="50" w:after="120" w:afterLines="50" w:line="264" w:lineRule="auto"/>
              <w:jc w:val="center"/>
              <w:rPr>
                <w:rFonts w:hint="eastAsia"/>
                <w:highlight w:val="none"/>
              </w:rPr>
            </w:pPr>
            <w:r>
              <w:rPr>
                <w:rFonts w:hint="eastAsia"/>
                <w:highlight w:val="none"/>
              </w:rPr>
              <w:t>11</w:t>
            </w:r>
          </w:p>
        </w:tc>
        <w:tc>
          <w:tcPr>
            <w:tcW w:w="1738" w:type="dxa"/>
            <w:vAlign w:val="center"/>
          </w:tcPr>
          <w:p w14:paraId="7B62820A">
            <w:pPr>
              <w:spacing w:before="120" w:beforeLines="50" w:after="120" w:afterLines="50" w:line="264" w:lineRule="auto"/>
              <w:jc w:val="center"/>
              <w:rPr>
                <w:rFonts w:hint="eastAsia"/>
                <w:highlight w:val="none"/>
              </w:rPr>
            </w:pPr>
            <w:r>
              <w:rPr>
                <w:rFonts w:hint="eastAsia" w:ascii="宋体" w:hAnsi="宋体" w:eastAsia="宋体" w:cs="宋体"/>
                <w:highlight w:val="none"/>
              </w:rPr>
              <w:t>服务期限</w:t>
            </w:r>
          </w:p>
        </w:tc>
        <w:tc>
          <w:tcPr>
            <w:tcW w:w="7082" w:type="dxa"/>
            <w:vAlign w:val="center"/>
          </w:tcPr>
          <w:p w14:paraId="0D23C60D">
            <w:pPr>
              <w:spacing w:before="120" w:beforeLines="50" w:after="120" w:afterLines="50" w:line="264" w:lineRule="auto"/>
              <w:jc w:val="both"/>
              <w:rPr>
                <w:rFonts w:hint="eastAsia"/>
                <w:highlight w:val="none"/>
              </w:rPr>
            </w:pPr>
            <w:r>
              <w:rPr>
                <w:spacing w:val="-4"/>
                <w:highlight w:val="none"/>
              </w:rPr>
              <w:t>自合同生效之日起一年。</w:t>
            </w:r>
          </w:p>
        </w:tc>
      </w:tr>
      <w:tr w14:paraId="0FBA7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949" w:type="dxa"/>
            <w:vMerge w:val="continue"/>
            <w:vAlign w:val="center"/>
          </w:tcPr>
          <w:p w14:paraId="12999FD2">
            <w:pPr>
              <w:spacing w:before="120" w:beforeLines="50" w:after="120" w:afterLines="50" w:line="264" w:lineRule="auto"/>
              <w:jc w:val="center"/>
              <w:rPr>
                <w:rFonts w:hint="eastAsia"/>
                <w:highlight w:val="none"/>
              </w:rPr>
            </w:pPr>
          </w:p>
        </w:tc>
        <w:tc>
          <w:tcPr>
            <w:tcW w:w="1738" w:type="dxa"/>
            <w:vAlign w:val="center"/>
          </w:tcPr>
          <w:p w14:paraId="2A94F19D">
            <w:pPr>
              <w:spacing w:before="120" w:beforeLines="50" w:after="120" w:afterLines="50" w:line="264" w:lineRule="auto"/>
              <w:jc w:val="center"/>
              <w:rPr>
                <w:rFonts w:hint="eastAsia"/>
                <w:highlight w:val="none"/>
              </w:rPr>
            </w:pPr>
            <w:r>
              <w:rPr>
                <w:rFonts w:hint="eastAsia"/>
                <w:highlight w:val="none"/>
              </w:rPr>
              <w:t>服务地点</w:t>
            </w:r>
          </w:p>
        </w:tc>
        <w:tc>
          <w:tcPr>
            <w:tcW w:w="7082" w:type="dxa"/>
            <w:vAlign w:val="center"/>
          </w:tcPr>
          <w:p w14:paraId="2F05E1F6">
            <w:pPr>
              <w:spacing w:before="120" w:beforeLines="50" w:after="120" w:afterLines="50" w:line="264" w:lineRule="auto"/>
              <w:jc w:val="both"/>
              <w:rPr>
                <w:rFonts w:hint="eastAsia"/>
                <w:highlight w:val="none"/>
              </w:rPr>
            </w:pPr>
            <w:r>
              <w:rPr>
                <w:rFonts w:hint="eastAsia"/>
                <w:highlight w:val="none"/>
              </w:rPr>
              <w:t>采购人指定地点</w:t>
            </w:r>
          </w:p>
        </w:tc>
      </w:tr>
      <w:tr w14:paraId="5748F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949" w:type="dxa"/>
            <w:vMerge w:val="continue"/>
            <w:vAlign w:val="center"/>
          </w:tcPr>
          <w:p w14:paraId="7E7EED21">
            <w:pPr>
              <w:spacing w:before="120" w:beforeLines="50" w:after="120" w:afterLines="50" w:line="264" w:lineRule="auto"/>
              <w:jc w:val="center"/>
              <w:rPr>
                <w:rFonts w:hint="eastAsia"/>
                <w:highlight w:val="none"/>
              </w:rPr>
            </w:pPr>
          </w:p>
        </w:tc>
        <w:tc>
          <w:tcPr>
            <w:tcW w:w="1738" w:type="dxa"/>
            <w:vAlign w:val="center"/>
          </w:tcPr>
          <w:p w14:paraId="665C10BC">
            <w:pPr>
              <w:spacing w:before="120" w:beforeLines="50" w:after="120" w:afterLines="50" w:line="264" w:lineRule="auto"/>
              <w:jc w:val="center"/>
              <w:rPr>
                <w:rFonts w:hint="eastAsia"/>
                <w:highlight w:val="none"/>
              </w:rPr>
            </w:pPr>
            <w:r>
              <w:rPr>
                <w:rFonts w:hint="eastAsia"/>
                <w:highlight w:val="none"/>
              </w:rPr>
              <w:t>服务标准</w:t>
            </w:r>
          </w:p>
        </w:tc>
        <w:tc>
          <w:tcPr>
            <w:tcW w:w="7082" w:type="dxa"/>
            <w:vAlign w:val="center"/>
          </w:tcPr>
          <w:p w14:paraId="74FADEF9">
            <w:pPr>
              <w:spacing w:before="120" w:beforeLines="50" w:after="120" w:afterLines="50" w:line="264" w:lineRule="auto"/>
              <w:jc w:val="both"/>
              <w:rPr>
                <w:rFonts w:hint="eastAsia"/>
                <w:highlight w:val="none"/>
              </w:rPr>
            </w:pPr>
            <w:r>
              <w:rPr>
                <w:spacing w:val="1"/>
                <w:highlight w:val="none"/>
              </w:rPr>
              <w:t>满足国家相关标准、行业标准、地方标准及采购人管理标准。</w:t>
            </w:r>
          </w:p>
        </w:tc>
      </w:tr>
      <w:tr w14:paraId="2CC2B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949" w:type="dxa"/>
            <w:vMerge w:val="continue"/>
            <w:vAlign w:val="center"/>
          </w:tcPr>
          <w:p w14:paraId="26705474">
            <w:pPr>
              <w:spacing w:before="120" w:beforeLines="50" w:after="120" w:afterLines="50" w:line="264" w:lineRule="auto"/>
              <w:jc w:val="center"/>
              <w:rPr>
                <w:rFonts w:hint="eastAsia"/>
                <w:highlight w:val="none"/>
              </w:rPr>
            </w:pPr>
          </w:p>
        </w:tc>
        <w:tc>
          <w:tcPr>
            <w:tcW w:w="1738" w:type="dxa"/>
            <w:vAlign w:val="center"/>
          </w:tcPr>
          <w:p w14:paraId="3E64BA36">
            <w:pPr>
              <w:spacing w:before="120" w:beforeLines="50" w:after="120" w:afterLines="50" w:line="264" w:lineRule="auto"/>
              <w:jc w:val="center"/>
              <w:rPr>
                <w:rFonts w:hint="eastAsia"/>
                <w:highlight w:val="none"/>
              </w:rPr>
            </w:pPr>
            <w:r>
              <w:rPr>
                <w:rFonts w:hint="eastAsia"/>
                <w:highlight w:val="none"/>
              </w:rPr>
              <w:t>报价有效期</w:t>
            </w:r>
          </w:p>
        </w:tc>
        <w:tc>
          <w:tcPr>
            <w:tcW w:w="7082" w:type="dxa"/>
            <w:vAlign w:val="center"/>
          </w:tcPr>
          <w:p w14:paraId="39487BD0">
            <w:pPr>
              <w:spacing w:before="120" w:beforeLines="50" w:after="120" w:afterLines="50" w:line="264" w:lineRule="auto"/>
              <w:jc w:val="both"/>
              <w:rPr>
                <w:rFonts w:hint="eastAsia"/>
                <w:highlight w:val="none"/>
              </w:rPr>
            </w:pPr>
            <w:r>
              <w:rPr>
                <w:rFonts w:hint="eastAsia"/>
                <w:highlight w:val="none"/>
              </w:rPr>
              <w:t>自报价截止时间起90日历天</w:t>
            </w:r>
          </w:p>
        </w:tc>
      </w:tr>
      <w:tr w14:paraId="5BCEE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9" w:type="dxa"/>
            <w:vAlign w:val="center"/>
          </w:tcPr>
          <w:p w14:paraId="460DF3E4">
            <w:pPr>
              <w:spacing w:before="120" w:beforeLines="50" w:after="120" w:afterLines="50" w:line="264" w:lineRule="auto"/>
              <w:jc w:val="center"/>
              <w:rPr>
                <w:rFonts w:hint="eastAsia"/>
                <w:highlight w:val="none"/>
              </w:rPr>
            </w:pPr>
            <w:r>
              <w:rPr>
                <w:rFonts w:hint="eastAsia"/>
                <w:highlight w:val="none"/>
              </w:rPr>
              <w:t>12</w:t>
            </w:r>
          </w:p>
        </w:tc>
        <w:tc>
          <w:tcPr>
            <w:tcW w:w="1738" w:type="dxa"/>
            <w:vAlign w:val="center"/>
          </w:tcPr>
          <w:p w14:paraId="20524035">
            <w:pPr>
              <w:spacing w:before="120" w:beforeLines="50" w:after="120" w:afterLines="50" w:line="264" w:lineRule="auto"/>
              <w:jc w:val="center"/>
              <w:rPr>
                <w:rFonts w:hint="eastAsia"/>
                <w:highlight w:val="none"/>
              </w:rPr>
            </w:pPr>
            <w:r>
              <w:rPr>
                <w:rFonts w:hint="eastAsia"/>
                <w:highlight w:val="none"/>
              </w:rPr>
              <w:t>付款方式</w:t>
            </w:r>
          </w:p>
        </w:tc>
        <w:tc>
          <w:tcPr>
            <w:tcW w:w="7082" w:type="dxa"/>
            <w:vAlign w:val="center"/>
          </w:tcPr>
          <w:p w14:paraId="0E75E495">
            <w:pPr>
              <w:spacing w:before="120" w:beforeLines="50" w:after="120" w:afterLines="50" w:line="264" w:lineRule="auto"/>
              <w:jc w:val="both"/>
              <w:rPr>
                <w:rFonts w:hint="eastAsia"/>
                <w:highlight w:val="none"/>
              </w:rPr>
            </w:pPr>
            <w:r>
              <w:rPr>
                <w:highlight w:val="none"/>
              </w:rPr>
              <w:t>合同签订生效后支付合同价款的15%，巡查服务期间按时出具巡查评估报告，合同履行</w:t>
            </w:r>
            <w:r>
              <w:rPr>
                <w:spacing w:val="-40"/>
                <w:highlight w:val="none"/>
              </w:rPr>
              <w:t xml:space="preserve"> </w:t>
            </w:r>
            <w:r>
              <w:rPr>
                <w:highlight w:val="none"/>
              </w:rPr>
              <w:t>9</w:t>
            </w:r>
            <w:r>
              <w:rPr>
                <w:spacing w:val="-42"/>
                <w:highlight w:val="none"/>
              </w:rPr>
              <w:t xml:space="preserve"> </w:t>
            </w:r>
            <w:r>
              <w:rPr>
                <w:highlight w:val="none"/>
              </w:rPr>
              <w:t>个月结束后付至合同总价款的</w:t>
            </w:r>
            <w:r>
              <w:rPr>
                <w:spacing w:val="-32"/>
                <w:highlight w:val="none"/>
              </w:rPr>
              <w:t xml:space="preserve"> </w:t>
            </w:r>
            <w:r>
              <w:rPr>
                <w:highlight w:val="none"/>
              </w:rPr>
              <w:t>75</w:t>
            </w:r>
            <w:r>
              <w:rPr>
                <w:rFonts w:hint="eastAsia"/>
                <w:highlight w:val="none"/>
                <w:lang w:val="en-US" w:eastAsia="zh-CN"/>
              </w:rPr>
              <w:t>%</w:t>
            </w:r>
            <w:r>
              <w:rPr>
                <w:highlight w:val="none"/>
              </w:rPr>
              <w:t>，合同履</w:t>
            </w:r>
            <w:r>
              <w:rPr>
                <w:spacing w:val="-1"/>
                <w:highlight w:val="none"/>
              </w:rPr>
              <w:t>行第12</w:t>
            </w:r>
            <w:r>
              <w:rPr>
                <w:spacing w:val="-43"/>
                <w:highlight w:val="none"/>
              </w:rPr>
              <w:t xml:space="preserve"> </w:t>
            </w:r>
            <w:r>
              <w:rPr>
                <w:spacing w:val="-1"/>
                <w:highlight w:val="none"/>
              </w:rPr>
              <w:t>个月服务完毕后付清尾款。</w:t>
            </w:r>
            <w:r>
              <w:rPr>
                <w:rFonts w:hint="eastAsia"/>
                <w:spacing w:val="-1"/>
                <w:highlight w:val="none"/>
                <w:lang w:val="en-US" w:eastAsia="zh-CN"/>
              </w:rPr>
              <w:t>按财政资金拨付情况支付，</w:t>
            </w:r>
            <w:r>
              <w:rPr>
                <w:rFonts w:hint="eastAsia" w:ascii="宋体" w:hAnsi="宋体" w:eastAsia="宋体" w:cs="宋体"/>
                <w:color w:val="auto"/>
                <w:highlight w:val="none"/>
                <w:lang w:val="en-US" w:eastAsia="zh-CN"/>
              </w:rPr>
              <w:t>不得以拨款不到位为由停工</w:t>
            </w:r>
            <w:r>
              <w:rPr>
                <w:rFonts w:hint="eastAsia" w:cs="宋体"/>
                <w:color w:val="auto"/>
                <w:highlight w:val="none"/>
                <w:lang w:val="en-US" w:eastAsia="zh-CN"/>
              </w:rPr>
              <w:t>。</w:t>
            </w:r>
          </w:p>
        </w:tc>
      </w:tr>
      <w:tr w14:paraId="35C78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949" w:type="dxa"/>
            <w:vAlign w:val="center"/>
          </w:tcPr>
          <w:p w14:paraId="2C3B5EEB">
            <w:pPr>
              <w:spacing w:before="120" w:beforeLines="50" w:after="120" w:afterLines="50" w:line="264" w:lineRule="auto"/>
              <w:jc w:val="center"/>
              <w:rPr>
                <w:rFonts w:hint="eastAsia"/>
                <w:highlight w:val="none"/>
              </w:rPr>
            </w:pPr>
            <w:r>
              <w:rPr>
                <w:rFonts w:hint="eastAsia"/>
                <w:highlight w:val="none"/>
              </w:rPr>
              <w:t>13</w:t>
            </w:r>
          </w:p>
        </w:tc>
        <w:tc>
          <w:tcPr>
            <w:tcW w:w="1738" w:type="dxa"/>
            <w:vAlign w:val="center"/>
          </w:tcPr>
          <w:p w14:paraId="7CB52AD8">
            <w:pPr>
              <w:spacing w:before="120" w:beforeLines="50" w:after="120" w:afterLines="50" w:line="264" w:lineRule="auto"/>
              <w:jc w:val="center"/>
              <w:rPr>
                <w:rFonts w:hint="eastAsia"/>
                <w:highlight w:val="none"/>
              </w:rPr>
            </w:pPr>
            <w:r>
              <w:rPr>
                <w:rFonts w:hint="eastAsia"/>
                <w:highlight w:val="none"/>
              </w:rPr>
              <w:t>现场踏勘及答疑会</w:t>
            </w:r>
          </w:p>
        </w:tc>
        <w:tc>
          <w:tcPr>
            <w:tcW w:w="7082" w:type="dxa"/>
            <w:vAlign w:val="center"/>
          </w:tcPr>
          <w:p w14:paraId="4D3999A1">
            <w:pPr>
              <w:spacing w:before="120" w:beforeLines="50" w:after="120" w:afterLines="50" w:line="264" w:lineRule="auto"/>
              <w:jc w:val="both"/>
              <w:rPr>
                <w:rFonts w:hint="eastAsia"/>
                <w:highlight w:val="none"/>
              </w:rPr>
            </w:pPr>
            <w:r>
              <w:rPr>
                <w:rFonts w:hint="eastAsia"/>
                <w:highlight w:val="none"/>
              </w:rPr>
              <w:t>自行勘察现场</w:t>
            </w:r>
          </w:p>
        </w:tc>
      </w:tr>
      <w:tr w14:paraId="15E28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9" w:type="dxa"/>
            <w:vAlign w:val="center"/>
          </w:tcPr>
          <w:p w14:paraId="422EAE12">
            <w:pPr>
              <w:spacing w:before="120" w:beforeLines="50" w:after="120" w:afterLines="50" w:line="264" w:lineRule="auto"/>
              <w:jc w:val="center"/>
              <w:rPr>
                <w:rFonts w:hint="eastAsia"/>
                <w:highlight w:val="none"/>
              </w:rPr>
            </w:pPr>
            <w:r>
              <w:rPr>
                <w:rFonts w:hint="eastAsia"/>
                <w:highlight w:val="none"/>
              </w:rPr>
              <w:t>14</w:t>
            </w:r>
          </w:p>
        </w:tc>
        <w:tc>
          <w:tcPr>
            <w:tcW w:w="1738" w:type="dxa"/>
            <w:vAlign w:val="center"/>
          </w:tcPr>
          <w:p w14:paraId="13D8B5CB">
            <w:pPr>
              <w:spacing w:before="120" w:beforeLines="50" w:after="120" w:afterLines="50" w:line="264" w:lineRule="auto"/>
              <w:jc w:val="center"/>
              <w:rPr>
                <w:rFonts w:hint="eastAsia"/>
                <w:highlight w:val="none"/>
              </w:rPr>
            </w:pPr>
            <w:r>
              <w:rPr>
                <w:rFonts w:hint="eastAsia"/>
                <w:highlight w:val="none"/>
              </w:rPr>
              <w:t>质疑函</w:t>
            </w:r>
          </w:p>
        </w:tc>
        <w:tc>
          <w:tcPr>
            <w:tcW w:w="7082" w:type="dxa"/>
            <w:vAlign w:val="center"/>
          </w:tcPr>
          <w:p w14:paraId="7BC2EAA2">
            <w:pPr>
              <w:tabs>
                <w:tab w:val="left" w:pos="5580"/>
              </w:tabs>
              <w:spacing w:before="120" w:beforeLines="50" w:after="120" w:afterLines="50" w:line="264" w:lineRule="auto"/>
              <w:jc w:val="both"/>
              <w:rPr>
                <w:rFonts w:hint="eastAsia"/>
                <w:highlight w:val="none"/>
              </w:rPr>
            </w:pPr>
            <w:r>
              <w:rPr>
                <w:rFonts w:hint="eastAsia"/>
                <w:highlight w:val="none"/>
              </w:rPr>
              <w:t>接收部门、联系电话和通讯地址：</w:t>
            </w:r>
          </w:p>
          <w:p w14:paraId="7FB04A66">
            <w:pPr>
              <w:tabs>
                <w:tab w:val="left" w:pos="5580"/>
              </w:tabs>
              <w:spacing w:before="120" w:beforeLines="50" w:after="120" w:afterLines="50" w:line="264" w:lineRule="auto"/>
              <w:jc w:val="both"/>
              <w:rPr>
                <w:rFonts w:hint="eastAsia"/>
                <w:highlight w:val="none"/>
              </w:rPr>
            </w:pPr>
            <w:r>
              <w:rPr>
                <w:rFonts w:hint="eastAsia"/>
                <w:highlight w:val="none"/>
              </w:rPr>
              <w:t>联系部门：山东东盛建设项目管理有限公司三楼招采部</w:t>
            </w:r>
          </w:p>
          <w:p w14:paraId="29232D82">
            <w:pPr>
              <w:tabs>
                <w:tab w:val="left" w:pos="5580"/>
              </w:tabs>
              <w:spacing w:before="120" w:beforeLines="50" w:after="120" w:afterLines="50" w:line="264" w:lineRule="auto"/>
              <w:jc w:val="both"/>
              <w:rPr>
                <w:rFonts w:hint="eastAsia"/>
                <w:highlight w:val="none"/>
              </w:rPr>
            </w:pPr>
            <w:r>
              <w:rPr>
                <w:rFonts w:hint="eastAsia"/>
                <w:highlight w:val="none"/>
              </w:rPr>
              <w:t>联系电话：</w:t>
            </w:r>
            <w:r>
              <w:rPr>
                <w:rFonts w:hint="eastAsia"/>
                <w:highlight w:val="none"/>
                <w:lang w:val="en-US" w:eastAsia="zh-CN"/>
              </w:rPr>
              <w:t>18661517599</w:t>
            </w:r>
            <w:r>
              <w:rPr>
                <w:rFonts w:hint="eastAsia"/>
                <w:highlight w:val="none"/>
              </w:rPr>
              <w:t xml:space="preserve"> 邮箱：hz5920090@163.com</w:t>
            </w:r>
          </w:p>
          <w:p w14:paraId="459590D8">
            <w:pPr>
              <w:tabs>
                <w:tab w:val="left" w:pos="5580"/>
              </w:tabs>
              <w:spacing w:before="120" w:beforeLines="50" w:after="120" w:afterLines="50" w:line="264" w:lineRule="auto"/>
              <w:jc w:val="both"/>
              <w:rPr>
                <w:rFonts w:hint="eastAsia"/>
                <w:highlight w:val="none"/>
              </w:rPr>
            </w:pPr>
            <w:r>
              <w:rPr>
                <w:rFonts w:hint="eastAsia"/>
                <w:highlight w:val="none"/>
              </w:rPr>
              <w:t>通讯地址：菏泽市牡丹区长江西路龙泽花园西侧第一栋楼三楼</w:t>
            </w:r>
          </w:p>
        </w:tc>
      </w:tr>
      <w:tr w14:paraId="0E171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0" w:hRule="atLeast"/>
          <w:jc w:val="center"/>
        </w:trPr>
        <w:tc>
          <w:tcPr>
            <w:tcW w:w="949" w:type="dxa"/>
            <w:vAlign w:val="center"/>
          </w:tcPr>
          <w:p w14:paraId="2E4673DD">
            <w:pPr>
              <w:spacing w:before="120" w:beforeLines="50" w:after="120" w:afterLines="50" w:line="264" w:lineRule="auto"/>
              <w:jc w:val="center"/>
              <w:rPr>
                <w:rFonts w:hint="eastAsia"/>
                <w:highlight w:val="none"/>
              </w:rPr>
            </w:pPr>
            <w:r>
              <w:rPr>
                <w:rFonts w:hint="eastAsia"/>
                <w:highlight w:val="none"/>
              </w:rPr>
              <w:t>15</w:t>
            </w:r>
          </w:p>
        </w:tc>
        <w:tc>
          <w:tcPr>
            <w:tcW w:w="1738" w:type="dxa"/>
            <w:vAlign w:val="center"/>
          </w:tcPr>
          <w:p w14:paraId="5FD7BADA">
            <w:pPr>
              <w:spacing w:before="120" w:beforeLines="50" w:after="120" w:afterLines="50" w:line="264" w:lineRule="auto"/>
              <w:jc w:val="center"/>
              <w:rPr>
                <w:rFonts w:hint="eastAsia"/>
                <w:highlight w:val="none"/>
              </w:rPr>
            </w:pPr>
            <w:r>
              <w:rPr>
                <w:rFonts w:hint="eastAsia"/>
                <w:highlight w:val="none"/>
              </w:rPr>
              <w:t>知识产权</w:t>
            </w:r>
          </w:p>
        </w:tc>
        <w:tc>
          <w:tcPr>
            <w:tcW w:w="7082" w:type="dxa"/>
            <w:vAlign w:val="center"/>
          </w:tcPr>
          <w:p w14:paraId="722827AA">
            <w:pPr>
              <w:spacing w:before="120" w:beforeLines="50" w:after="120" w:afterLines="50" w:line="264" w:lineRule="auto"/>
              <w:jc w:val="both"/>
              <w:rPr>
                <w:rFonts w:hint="eastAsia"/>
                <w:highlight w:val="none"/>
              </w:rPr>
            </w:pPr>
            <w:r>
              <w:rPr>
                <w:rFonts w:hint="eastAsia"/>
                <w:highlight w:val="none"/>
              </w:rPr>
              <w:t>构成本竞争性磋商文件各个组成部分的文件，未经采购人书面同意，供应商不得擅自复印和用于非本采购项目所需的其他目的。</w:t>
            </w:r>
          </w:p>
          <w:p w14:paraId="0986A93C">
            <w:pPr>
              <w:spacing w:before="120" w:beforeLines="50" w:after="120" w:afterLines="50" w:line="264" w:lineRule="auto"/>
              <w:jc w:val="both"/>
              <w:rPr>
                <w:rFonts w:hint="eastAsia"/>
                <w:highlight w:val="none"/>
              </w:rPr>
            </w:pPr>
            <w:r>
              <w:rPr>
                <w:rFonts w:hint="eastAsia"/>
                <w:highlight w:val="none"/>
              </w:rPr>
              <w:t>供应商应保证采购人在中华人民共和国使用合同项下任何一部分货物或服务时，免受第三方提出侵犯其专利权、商标权、版权或其他知识产权的起诉。否则供应商须承担对第三方的专利、商标、版权或其他知识产权的侵权责任并承担因此而发生的所有费用。</w:t>
            </w:r>
          </w:p>
        </w:tc>
      </w:tr>
      <w:tr w14:paraId="44203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9" w:type="dxa"/>
            <w:vAlign w:val="center"/>
          </w:tcPr>
          <w:p w14:paraId="278D43CB">
            <w:pPr>
              <w:spacing w:before="120" w:beforeLines="50" w:after="120" w:afterLines="50" w:line="264" w:lineRule="auto"/>
              <w:jc w:val="center"/>
              <w:rPr>
                <w:rFonts w:hint="eastAsia"/>
                <w:highlight w:val="none"/>
              </w:rPr>
            </w:pPr>
            <w:r>
              <w:rPr>
                <w:rFonts w:hint="eastAsia"/>
                <w:highlight w:val="none"/>
              </w:rPr>
              <w:t>16</w:t>
            </w:r>
          </w:p>
        </w:tc>
        <w:tc>
          <w:tcPr>
            <w:tcW w:w="1738" w:type="dxa"/>
            <w:vAlign w:val="center"/>
          </w:tcPr>
          <w:p w14:paraId="716E7FF6">
            <w:pPr>
              <w:spacing w:before="120" w:beforeLines="50" w:after="120" w:afterLines="50" w:line="264" w:lineRule="auto"/>
              <w:jc w:val="center"/>
              <w:rPr>
                <w:rFonts w:hint="eastAsia"/>
                <w:highlight w:val="none"/>
              </w:rPr>
            </w:pPr>
            <w:r>
              <w:rPr>
                <w:rFonts w:hint="eastAsia"/>
                <w:highlight w:val="none"/>
              </w:rPr>
              <w:t>解释权</w:t>
            </w:r>
          </w:p>
        </w:tc>
        <w:tc>
          <w:tcPr>
            <w:tcW w:w="7082" w:type="dxa"/>
            <w:vAlign w:val="center"/>
          </w:tcPr>
          <w:p w14:paraId="372FE991">
            <w:pPr>
              <w:keepNext w:val="0"/>
              <w:keepLines w:val="0"/>
              <w:pageBreakBefore w:val="0"/>
              <w:widowControl w:val="0"/>
              <w:kinsoku/>
              <w:wordWrap/>
              <w:overflowPunct/>
              <w:topLinePunct w:val="0"/>
              <w:bidi w:val="0"/>
              <w:snapToGrid/>
              <w:spacing w:before="157" w:beforeLines="50" w:after="157" w:afterLines="50" w:line="264" w:lineRule="auto"/>
              <w:jc w:val="both"/>
              <w:textAlignment w:val="auto"/>
              <w:rPr>
                <w:rFonts w:hint="eastAsia"/>
                <w:highlight w:val="none"/>
              </w:rPr>
            </w:pPr>
            <w:r>
              <w:rPr>
                <w:rFonts w:hint="eastAsia"/>
                <w:highlight w:val="none"/>
              </w:rPr>
              <w:t>构成本</w:t>
            </w:r>
            <w:r>
              <w:rPr>
                <w:rFonts w:hint="eastAsia"/>
                <w:highlight w:val="none"/>
                <w:lang w:eastAsia="zh-CN"/>
              </w:rPr>
              <w:t>竞争性磋商文件</w:t>
            </w:r>
            <w:r>
              <w:rPr>
                <w:rFonts w:hint="eastAsia"/>
                <w:highlight w:val="none"/>
              </w:rPr>
              <w:t>的各个组成文件应互为解释，互为说明；如有不明确或不一致，构成合同文件组成内容的，以合同文件约定内容为准，且以专用合同条款约定的合同文件优先顺序解释；除</w:t>
            </w:r>
            <w:r>
              <w:rPr>
                <w:rFonts w:hint="eastAsia"/>
                <w:highlight w:val="none"/>
                <w:lang w:eastAsia="zh-CN"/>
              </w:rPr>
              <w:t>竞争性磋商文件</w:t>
            </w:r>
            <w:r>
              <w:rPr>
                <w:rFonts w:hint="eastAsia"/>
                <w:highlight w:val="none"/>
              </w:rPr>
              <w:t>中有特别规定外，按磋商公告、供应商须知、评审方法和标准、</w:t>
            </w:r>
            <w:r>
              <w:rPr>
                <w:rFonts w:hint="eastAsia"/>
                <w:highlight w:val="none"/>
                <w:lang w:eastAsia="zh-CN"/>
              </w:rPr>
              <w:t>竞争性磋商文件</w:t>
            </w:r>
            <w:r>
              <w:rPr>
                <w:rFonts w:hint="eastAsia"/>
                <w:highlight w:val="none"/>
              </w:rPr>
              <w:t>格式的先后顺序解释；同一组成文件中就同一事项的规定或约定不一致的，以编排顺序在后者为准；同一组成文件不同版本之间有不一致的，以形成时间在后者为准。本表内容与供应商须知内容不一致的，以本表内容为准。按本款前述规定仍不能形成结论的，由采购人或采购代理机构负责解释。</w:t>
            </w:r>
          </w:p>
        </w:tc>
      </w:tr>
      <w:tr w14:paraId="0FDB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9" w:type="dxa"/>
            <w:vAlign w:val="center"/>
          </w:tcPr>
          <w:p w14:paraId="236DCD13">
            <w:pPr>
              <w:spacing w:before="120" w:beforeLines="50" w:after="120" w:afterLines="50" w:line="264" w:lineRule="auto"/>
              <w:jc w:val="center"/>
              <w:rPr>
                <w:rFonts w:hint="eastAsia"/>
                <w:highlight w:val="none"/>
              </w:rPr>
            </w:pPr>
            <w:r>
              <w:rPr>
                <w:rFonts w:hint="eastAsia"/>
                <w:highlight w:val="none"/>
              </w:rPr>
              <w:t>17</w:t>
            </w:r>
          </w:p>
        </w:tc>
        <w:tc>
          <w:tcPr>
            <w:tcW w:w="1738" w:type="dxa"/>
            <w:vAlign w:val="center"/>
          </w:tcPr>
          <w:p w14:paraId="46612034">
            <w:pPr>
              <w:spacing w:before="120" w:beforeLines="50" w:after="120" w:afterLines="50" w:line="264" w:lineRule="auto"/>
              <w:jc w:val="center"/>
              <w:rPr>
                <w:rFonts w:hint="eastAsia"/>
                <w:highlight w:val="none"/>
              </w:rPr>
            </w:pPr>
            <w:r>
              <w:rPr>
                <w:rFonts w:hint="eastAsia"/>
                <w:highlight w:val="none"/>
              </w:rPr>
              <w:t>意外情况处理</w:t>
            </w:r>
          </w:p>
        </w:tc>
        <w:tc>
          <w:tcPr>
            <w:tcW w:w="7082" w:type="dxa"/>
            <w:vAlign w:val="center"/>
          </w:tcPr>
          <w:p w14:paraId="5A98079A">
            <w:pPr>
              <w:keepNext w:val="0"/>
              <w:keepLines w:val="0"/>
              <w:pageBreakBefore w:val="0"/>
              <w:widowControl w:val="0"/>
              <w:kinsoku/>
              <w:wordWrap/>
              <w:overflowPunct/>
              <w:topLinePunct w:val="0"/>
              <w:bidi w:val="0"/>
              <w:snapToGrid/>
              <w:spacing w:before="157" w:beforeLines="50" w:after="157" w:afterLines="50" w:line="264" w:lineRule="auto"/>
              <w:jc w:val="both"/>
              <w:textAlignment w:val="auto"/>
              <w:rPr>
                <w:rFonts w:hint="eastAsia"/>
                <w:highlight w:val="none"/>
              </w:rPr>
            </w:pPr>
            <w:r>
              <w:rPr>
                <w:rFonts w:hint="eastAsia"/>
                <w:highlight w:val="none"/>
              </w:rPr>
              <w:t>出现下列情形导致电子交易系统无法正常运行，或者无法保证采购过程的公平、公正和信息安全时，除供应商责任外，其余各方当事人免责：</w:t>
            </w:r>
          </w:p>
          <w:p w14:paraId="78FDCCCD">
            <w:pPr>
              <w:keepNext w:val="0"/>
              <w:keepLines w:val="0"/>
              <w:pageBreakBefore w:val="0"/>
              <w:widowControl w:val="0"/>
              <w:kinsoku/>
              <w:wordWrap/>
              <w:overflowPunct/>
              <w:topLinePunct w:val="0"/>
              <w:bidi w:val="0"/>
              <w:snapToGrid/>
              <w:spacing w:before="157" w:beforeLines="50" w:after="157" w:afterLines="50" w:line="264" w:lineRule="auto"/>
              <w:jc w:val="both"/>
              <w:textAlignment w:val="auto"/>
              <w:rPr>
                <w:rFonts w:hint="eastAsia"/>
                <w:highlight w:val="none"/>
              </w:rPr>
            </w:pPr>
            <w:r>
              <w:rPr>
                <w:rFonts w:hint="eastAsia"/>
                <w:highlight w:val="none"/>
              </w:rPr>
              <w:t>1.网络服务器发生故障而无法访问网站或无法使用电子交易系统；</w:t>
            </w:r>
          </w:p>
          <w:p w14:paraId="4AEB697C">
            <w:pPr>
              <w:keepNext w:val="0"/>
              <w:keepLines w:val="0"/>
              <w:pageBreakBefore w:val="0"/>
              <w:widowControl w:val="0"/>
              <w:kinsoku/>
              <w:wordWrap/>
              <w:overflowPunct/>
              <w:topLinePunct w:val="0"/>
              <w:bidi w:val="0"/>
              <w:snapToGrid/>
              <w:spacing w:before="157" w:beforeLines="50" w:after="157" w:afterLines="50" w:line="264" w:lineRule="auto"/>
              <w:jc w:val="both"/>
              <w:textAlignment w:val="auto"/>
              <w:rPr>
                <w:rFonts w:hint="eastAsia"/>
                <w:highlight w:val="none"/>
              </w:rPr>
            </w:pPr>
            <w:r>
              <w:rPr>
                <w:rFonts w:hint="eastAsia"/>
                <w:highlight w:val="none"/>
              </w:rPr>
              <w:t>2.电子交易系统的软件或网络数据库出现错误，不能进行正常操作；</w:t>
            </w:r>
          </w:p>
          <w:p w14:paraId="3595BD7B">
            <w:pPr>
              <w:keepNext w:val="0"/>
              <w:keepLines w:val="0"/>
              <w:pageBreakBefore w:val="0"/>
              <w:widowControl w:val="0"/>
              <w:kinsoku/>
              <w:wordWrap/>
              <w:overflowPunct/>
              <w:topLinePunct w:val="0"/>
              <w:bidi w:val="0"/>
              <w:snapToGrid/>
              <w:spacing w:before="157" w:beforeLines="50" w:after="157" w:afterLines="50" w:line="264" w:lineRule="auto"/>
              <w:jc w:val="both"/>
              <w:textAlignment w:val="auto"/>
              <w:rPr>
                <w:rFonts w:hint="eastAsia"/>
                <w:highlight w:val="none"/>
              </w:rPr>
            </w:pPr>
            <w:r>
              <w:rPr>
                <w:rFonts w:hint="eastAsia"/>
                <w:highlight w:val="none"/>
              </w:rPr>
              <w:t>3.电子交易系统发现有安全漏洞，存有潜在的泄密危险；</w:t>
            </w:r>
          </w:p>
          <w:p w14:paraId="01F54B6F">
            <w:pPr>
              <w:keepNext w:val="0"/>
              <w:keepLines w:val="0"/>
              <w:pageBreakBefore w:val="0"/>
              <w:widowControl w:val="0"/>
              <w:kinsoku/>
              <w:wordWrap/>
              <w:overflowPunct/>
              <w:topLinePunct w:val="0"/>
              <w:bidi w:val="0"/>
              <w:snapToGrid/>
              <w:spacing w:before="157" w:beforeLines="50" w:after="157" w:afterLines="50" w:line="264" w:lineRule="auto"/>
              <w:jc w:val="both"/>
              <w:textAlignment w:val="auto"/>
              <w:rPr>
                <w:rFonts w:hint="eastAsia"/>
                <w:highlight w:val="none"/>
              </w:rPr>
            </w:pPr>
            <w:r>
              <w:rPr>
                <w:rFonts w:hint="eastAsia"/>
                <w:highlight w:val="none"/>
              </w:rPr>
              <w:t>4.计算机病毒发作导致系统无法正常运行的；</w:t>
            </w:r>
          </w:p>
          <w:p w14:paraId="06901657">
            <w:pPr>
              <w:keepNext w:val="0"/>
              <w:keepLines w:val="0"/>
              <w:pageBreakBefore w:val="0"/>
              <w:widowControl w:val="0"/>
              <w:kinsoku/>
              <w:wordWrap/>
              <w:overflowPunct/>
              <w:topLinePunct w:val="0"/>
              <w:bidi w:val="0"/>
              <w:snapToGrid/>
              <w:spacing w:before="157" w:beforeLines="50" w:after="157" w:afterLines="50" w:line="264" w:lineRule="auto"/>
              <w:jc w:val="both"/>
              <w:textAlignment w:val="auto"/>
              <w:rPr>
                <w:rFonts w:hint="eastAsia"/>
                <w:highlight w:val="none"/>
              </w:rPr>
            </w:pPr>
            <w:r>
              <w:rPr>
                <w:rFonts w:hint="eastAsia"/>
                <w:highlight w:val="none"/>
              </w:rPr>
              <w:t>5.电力系统发生故障导致电子交易系统无法运行；</w:t>
            </w:r>
          </w:p>
          <w:p w14:paraId="729B143D">
            <w:pPr>
              <w:keepNext w:val="0"/>
              <w:keepLines w:val="0"/>
              <w:pageBreakBefore w:val="0"/>
              <w:widowControl w:val="0"/>
              <w:kinsoku/>
              <w:wordWrap/>
              <w:overflowPunct/>
              <w:topLinePunct w:val="0"/>
              <w:bidi w:val="0"/>
              <w:snapToGrid/>
              <w:spacing w:before="157" w:beforeLines="50" w:after="157" w:afterLines="50" w:line="264" w:lineRule="auto"/>
              <w:jc w:val="both"/>
              <w:textAlignment w:val="auto"/>
              <w:rPr>
                <w:rFonts w:hint="eastAsia"/>
                <w:highlight w:val="none"/>
              </w:rPr>
            </w:pPr>
            <w:r>
              <w:rPr>
                <w:rFonts w:hint="eastAsia"/>
                <w:highlight w:val="none"/>
              </w:rPr>
              <w:t>6.其他无法保证采购过程公平、公正和信息安全的。</w:t>
            </w:r>
          </w:p>
          <w:p w14:paraId="73BEC24E">
            <w:pPr>
              <w:keepNext w:val="0"/>
              <w:keepLines w:val="0"/>
              <w:pageBreakBefore w:val="0"/>
              <w:widowControl w:val="0"/>
              <w:kinsoku/>
              <w:wordWrap/>
              <w:overflowPunct/>
              <w:topLinePunct w:val="0"/>
              <w:bidi w:val="0"/>
              <w:snapToGrid/>
              <w:spacing w:before="157" w:beforeLines="50" w:after="157" w:afterLines="50" w:line="264" w:lineRule="auto"/>
              <w:jc w:val="both"/>
              <w:textAlignment w:val="auto"/>
              <w:rPr>
                <w:rFonts w:hint="eastAsia"/>
                <w:highlight w:val="none"/>
              </w:rPr>
            </w:pPr>
            <w:r>
              <w:rPr>
                <w:rFonts w:hint="eastAsia"/>
                <w:highlight w:val="none"/>
              </w:rPr>
              <w:t>出现上述情形而又不能及时解决的，经行政监督部门批准，采取以下处理办法：</w:t>
            </w:r>
          </w:p>
          <w:p w14:paraId="4F80FF59">
            <w:pPr>
              <w:keepNext w:val="0"/>
              <w:keepLines w:val="0"/>
              <w:pageBreakBefore w:val="0"/>
              <w:widowControl w:val="0"/>
              <w:kinsoku/>
              <w:wordWrap/>
              <w:overflowPunct/>
              <w:topLinePunct w:val="0"/>
              <w:bidi w:val="0"/>
              <w:snapToGrid/>
              <w:spacing w:before="157" w:beforeLines="50" w:after="157" w:afterLines="50" w:line="264" w:lineRule="auto"/>
              <w:jc w:val="both"/>
              <w:textAlignment w:val="auto"/>
              <w:rPr>
                <w:rFonts w:hint="eastAsia"/>
                <w:highlight w:val="none"/>
              </w:rPr>
            </w:pPr>
            <w:r>
              <w:rPr>
                <w:rFonts w:hint="eastAsia"/>
                <w:highlight w:val="none"/>
              </w:rPr>
              <w:t>1.项目暂停，待电子交易系统或网络故障排除并经过可靠测试后，再恢复电子交易系统运行并重新在系统中实施暂停的项目；</w:t>
            </w:r>
          </w:p>
          <w:p w14:paraId="44AC8C6E">
            <w:pPr>
              <w:keepNext w:val="0"/>
              <w:keepLines w:val="0"/>
              <w:pageBreakBefore w:val="0"/>
              <w:widowControl w:val="0"/>
              <w:kinsoku/>
              <w:wordWrap/>
              <w:overflowPunct/>
              <w:topLinePunct w:val="0"/>
              <w:bidi w:val="0"/>
              <w:snapToGrid/>
              <w:spacing w:before="157" w:beforeLines="50" w:after="157" w:afterLines="50" w:line="264" w:lineRule="auto"/>
              <w:jc w:val="both"/>
              <w:textAlignment w:val="auto"/>
              <w:rPr>
                <w:rFonts w:hint="eastAsia"/>
                <w:highlight w:val="none"/>
              </w:rPr>
            </w:pPr>
            <w:r>
              <w:rPr>
                <w:rFonts w:hint="eastAsia"/>
                <w:highlight w:val="none"/>
              </w:rPr>
              <w:t>2.停止该项目此次电子报价操作程序，并通知供应商采用其他方式操作。</w:t>
            </w:r>
          </w:p>
        </w:tc>
      </w:tr>
      <w:tr w14:paraId="07A92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9" w:type="dxa"/>
            <w:vAlign w:val="center"/>
          </w:tcPr>
          <w:p w14:paraId="0451063E">
            <w:pPr>
              <w:spacing w:before="120" w:beforeLines="50" w:after="120" w:afterLines="50" w:line="264" w:lineRule="auto"/>
              <w:jc w:val="center"/>
              <w:rPr>
                <w:rFonts w:hint="eastAsia"/>
                <w:highlight w:val="none"/>
              </w:rPr>
            </w:pPr>
            <w:r>
              <w:rPr>
                <w:rFonts w:hint="eastAsia"/>
                <w:highlight w:val="none"/>
              </w:rPr>
              <w:t>18</w:t>
            </w:r>
          </w:p>
        </w:tc>
        <w:tc>
          <w:tcPr>
            <w:tcW w:w="1738" w:type="dxa"/>
            <w:vAlign w:val="center"/>
          </w:tcPr>
          <w:p w14:paraId="33692495">
            <w:pPr>
              <w:autoSpaceDE w:val="0"/>
              <w:autoSpaceDN w:val="0"/>
              <w:adjustRightInd w:val="0"/>
              <w:spacing w:before="120" w:beforeLines="50" w:after="120" w:afterLines="50" w:line="264" w:lineRule="auto"/>
              <w:jc w:val="center"/>
              <w:rPr>
                <w:rFonts w:hint="eastAsia"/>
                <w:highlight w:val="none"/>
              </w:rPr>
            </w:pPr>
            <w:r>
              <w:rPr>
                <w:rFonts w:hint="eastAsia"/>
                <w:b/>
                <w:kern w:val="0"/>
                <w:highlight w:val="none"/>
              </w:rPr>
              <w:t>机器码、标识码一致性的判定</w:t>
            </w:r>
          </w:p>
        </w:tc>
        <w:tc>
          <w:tcPr>
            <w:tcW w:w="7082" w:type="dxa"/>
            <w:vAlign w:val="center"/>
          </w:tcPr>
          <w:p w14:paraId="63AD3A79">
            <w:pPr>
              <w:autoSpaceDE w:val="0"/>
              <w:autoSpaceDN w:val="0"/>
              <w:adjustRightInd w:val="0"/>
              <w:spacing w:before="120" w:beforeLines="50" w:after="120" w:afterLines="50" w:line="264" w:lineRule="auto"/>
              <w:jc w:val="both"/>
              <w:rPr>
                <w:rFonts w:hint="eastAsia"/>
                <w:color w:val="000000"/>
                <w:kern w:val="0"/>
                <w:highlight w:val="none"/>
                <w:lang w:bidi="ar"/>
              </w:rPr>
            </w:pPr>
            <w:r>
              <w:rPr>
                <w:rFonts w:hint="eastAsia"/>
                <w:highlight w:val="none"/>
              </w:rPr>
              <w:t>针对同一项目，不同供应商使用同一计算机制作并生成电子响应文件的视为文件制作机器码（mac地址）一致，不同供应商使用同一响应文件的过程稿制作并生成电子响应文件的视为文件创建标识码一致。上述两种情形，一经发现，将导致该等情形供应商的报价均被拒绝。</w:t>
            </w:r>
          </w:p>
        </w:tc>
      </w:tr>
      <w:tr w14:paraId="1B7DC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9" w:hRule="atLeast"/>
          <w:jc w:val="center"/>
        </w:trPr>
        <w:tc>
          <w:tcPr>
            <w:tcW w:w="9769" w:type="dxa"/>
            <w:gridSpan w:val="3"/>
            <w:vAlign w:val="center"/>
          </w:tcPr>
          <w:p w14:paraId="3BFC50CD">
            <w:pPr>
              <w:keepNext w:val="0"/>
              <w:keepLines w:val="0"/>
              <w:pageBreakBefore w:val="0"/>
              <w:widowControl w:val="0"/>
              <w:tabs>
                <w:tab w:val="left" w:pos="5580"/>
              </w:tabs>
              <w:kinsoku/>
              <w:overflowPunct/>
              <w:topLinePunct w:val="0"/>
              <w:autoSpaceDE/>
              <w:autoSpaceDN/>
              <w:bidi w:val="0"/>
              <w:adjustRightInd/>
              <w:snapToGrid/>
              <w:spacing w:before="157" w:beforeLines="50" w:after="157" w:afterLines="50" w:line="240" w:lineRule="auto"/>
              <w:jc w:val="both"/>
              <w:textAlignment w:val="auto"/>
              <w:rPr>
                <w:spacing w:val="3"/>
                <w:sz w:val="24"/>
                <w:szCs w:val="24"/>
                <w:highlight w:val="none"/>
              </w:rPr>
            </w:pPr>
            <w:r>
              <w:rPr>
                <w:spacing w:val="3"/>
                <w:sz w:val="24"/>
                <w:szCs w:val="24"/>
                <w:highlight w:val="none"/>
              </w:rPr>
              <w:t>成交服务费缴纳账户:</w:t>
            </w:r>
          </w:p>
          <w:p w14:paraId="58A588A6">
            <w:pPr>
              <w:keepNext w:val="0"/>
              <w:keepLines w:val="0"/>
              <w:pageBreakBefore w:val="0"/>
              <w:widowControl w:val="0"/>
              <w:tabs>
                <w:tab w:val="left" w:pos="5580"/>
              </w:tabs>
              <w:kinsoku/>
              <w:overflowPunct/>
              <w:topLinePunct w:val="0"/>
              <w:autoSpaceDE/>
              <w:autoSpaceDN/>
              <w:bidi w:val="0"/>
              <w:adjustRightInd/>
              <w:snapToGrid/>
              <w:spacing w:before="157" w:beforeLines="50" w:after="157" w:afterLines="50" w:line="240" w:lineRule="auto"/>
              <w:jc w:val="both"/>
              <w:textAlignment w:val="auto"/>
              <w:rPr>
                <w:position w:val="-24"/>
                <w:highlight w:val="none"/>
              </w:rPr>
            </w:pPr>
            <w:r>
              <w:rPr>
                <w:position w:val="-24"/>
                <w:highlight w:val="none"/>
              </w:rPr>
              <w:drawing>
                <wp:inline distT="0" distB="0" distL="114300" distR="114300">
                  <wp:extent cx="2915285" cy="790575"/>
                  <wp:effectExtent l="0" t="0" r="18415" b="9525"/>
                  <wp:docPr id="9" name="图片 1"/>
                  <wp:cNvGraphicFramePr/>
                  <a:graphic xmlns:a="http://schemas.openxmlformats.org/drawingml/2006/main">
                    <a:graphicData uri="http://schemas.openxmlformats.org/drawingml/2006/picture">
                      <pic:pic xmlns:pic="http://schemas.openxmlformats.org/drawingml/2006/picture">
                        <pic:nvPicPr>
                          <pic:cNvPr id="9" name="图片 1"/>
                          <pic:cNvPicPr/>
                        </pic:nvPicPr>
                        <pic:blipFill>
                          <a:blip r:embed="rId19"/>
                          <a:stretch>
                            <a:fillRect/>
                          </a:stretch>
                        </pic:blipFill>
                        <pic:spPr>
                          <a:xfrm>
                            <a:off x="0" y="0"/>
                            <a:ext cx="2915285" cy="790575"/>
                          </a:xfrm>
                          <a:prstGeom prst="rect">
                            <a:avLst/>
                          </a:prstGeom>
                          <a:noFill/>
                          <a:ln>
                            <a:noFill/>
                          </a:ln>
                        </pic:spPr>
                      </pic:pic>
                    </a:graphicData>
                  </a:graphic>
                </wp:inline>
              </w:drawing>
            </w:r>
          </w:p>
          <w:p w14:paraId="2AA9D4BA">
            <w:pPr>
              <w:keepNext w:val="0"/>
              <w:keepLines w:val="0"/>
              <w:pageBreakBefore w:val="0"/>
              <w:widowControl w:val="0"/>
              <w:tabs>
                <w:tab w:val="left" w:pos="5580"/>
              </w:tabs>
              <w:kinsoku/>
              <w:overflowPunct/>
              <w:topLinePunct w:val="0"/>
              <w:autoSpaceDE/>
              <w:autoSpaceDN/>
              <w:bidi w:val="0"/>
              <w:adjustRightInd/>
              <w:snapToGrid/>
              <w:spacing w:before="157" w:beforeLines="50" w:after="157" w:afterLines="50" w:line="240" w:lineRule="auto"/>
              <w:jc w:val="both"/>
              <w:textAlignment w:val="auto"/>
              <w:rPr>
                <w:rFonts w:ascii="宋体" w:hAnsi="宋体" w:eastAsia="宋体" w:cs="宋体"/>
                <w:spacing w:val="3"/>
                <w:sz w:val="24"/>
                <w:szCs w:val="24"/>
                <w:highlight w:val="none"/>
              </w:rPr>
            </w:pPr>
            <w:r>
              <w:rPr>
                <w:rFonts w:ascii="宋体" w:hAnsi="宋体" w:eastAsia="宋体" w:cs="宋体"/>
                <w:spacing w:val="3"/>
                <w:sz w:val="24"/>
                <w:szCs w:val="24"/>
                <w:highlight w:val="none"/>
              </w:rPr>
              <w:t>交易平台缴纳账户:</w:t>
            </w:r>
          </w:p>
          <w:p w14:paraId="7FAE2854">
            <w:pPr>
              <w:autoSpaceDE w:val="0"/>
              <w:autoSpaceDN w:val="0"/>
              <w:adjustRightInd w:val="0"/>
              <w:spacing w:before="120" w:beforeLines="50" w:after="120" w:afterLines="50" w:line="264" w:lineRule="auto"/>
              <w:jc w:val="left"/>
              <w:rPr>
                <w:rFonts w:hint="eastAsia"/>
                <w:highlight w:val="none"/>
              </w:rPr>
            </w:pPr>
            <w:r>
              <w:rPr>
                <w:position w:val="-24"/>
                <w:highlight w:val="none"/>
              </w:rPr>
              <w:drawing>
                <wp:inline distT="0" distB="0" distL="114300" distR="114300">
                  <wp:extent cx="2930525" cy="787400"/>
                  <wp:effectExtent l="0" t="0" r="3175" b="12700"/>
                  <wp:docPr id="10" name="图片 2"/>
                  <wp:cNvGraphicFramePr/>
                  <a:graphic xmlns:a="http://schemas.openxmlformats.org/drawingml/2006/main">
                    <a:graphicData uri="http://schemas.openxmlformats.org/drawingml/2006/picture">
                      <pic:pic xmlns:pic="http://schemas.openxmlformats.org/drawingml/2006/picture">
                        <pic:nvPicPr>
                          <pic:cNvPr id="10" name="图片 2"/>
                          <pic:cNvPicPr/>
                        </pic:nvPicPr>
                        <pic:blipFill>
                          <a:blip r:embed="rId20"/>
                          <a:stretch>
                            <a:fillRect/>
                          </a:stretch>
                        </pic:blipFill>
                        <pic:spPr>
                          <a:xfrm>
                            <a:off x="0" y="0"/>
                            <a:ext cx="2930525" cy="787400"/>
                          </a:xfrm>
                          <a:prstGeom prst="rect">
                            <a:avLst/>
                          </a:prstGeom>
                          <a:noFill/>
                          <a:ln>
                            <a:noFill/>
                          </a:ln>
                        </pic:spPr>
                      </pic:pic>
                    </a:graphicData>
                  </a:graphic>
                </wp:inline>
              </w:drawing>
            </w:r>
          </w:p>
        </w:tc>
      </w:tr>
    </w:tbl>
    <w:p w14:paraId="7293EC94">
      <w:pPr>
        <w:rPr>
          <w:rFonts w:hint="eastAsia"/>
          <w:highlight w:val="none"/>
        </w:rPr>
        <w:sectPr>
          <w:footerReference r:id="rId9" w:type="default"/>
          <w:pgSz w:w="11906" w:h="16838"/>
          <w:pgMar w:top="1417" w:right="1417" w:bottom="1417" w:left="1417" w:header="851" w:footer="992" w:gutter="0"/>
          <w:cols w:space="0" w:num="1"/>
          <w:rtlGutter w:val="0"/>
          <w:docGrid w:linePitch="312" w:charSpace="0"/>
        </w:sectPr>
      </w:pPr>
    </w:p>
    <w:bookmarkEnd w:id="398"/>
    <w:p w14:paraId="59B1F12A">
      <w:pPr>
        <w:pStyle w:val="2"/>
        <w:numPr>
          <w:ilvl w:val="0"/>
          <w:numId w:val="2"/>
        </w:numPr>
        <w:tabs>
          <w:tab w:val="left" w:pos="0"/>
        </w:tabs>
        <w:spacing w:line="240" w:lineRule="atLeast"/>
        <w:rPr>
          <w:rFonts w:hint="eastAsia"/>
          <w:highlight w:val="none"/>
        </w:rPr>
      </w:pPr>
      <w:bookmarkStart w:id="569" w:name="_Toc12085"/>
      <w:r>
        <w:rPr>
          <w:rFonts w:hint="eastAsia"/>
          <w:highlight w:val="none"/>
        </w:rPr>
        <w:t>项目内容及要求</w:t>
      </w:r>
      <w:bookmarkEnd w:id="569"/>
    </w:p>
    <w:p w14:paraId="2E7681DB">
      <w:pPr>
        <w:keepNext w:val="0"/>
        <w:keepLines w:val="0"/>
        <w:pageBreakBefore w:val="0"/>
        <w:wordWrap/>
        <w:overflowPunct/>
        <w:topLinePunct w:val="0"/>
        <w:bidi w:val="0"/>
        <w:spacing w:line="360" w:lineRule="auto"/>
        <w:ind w:left="0" w:right="0" w:firstLine="472" w:firstLineChars="200"/>
        <w:rPr>
          <w:rFonts w:hint="eastAsia" w:ascii="宋体" w:hAnsi="宋体" w:eastAsia="宋体" w:cs="宋体"/>
          <w:sz w:val="24"/>
          <w:szCs w:val="24"/>
          <w:highlight w:val="none"/>
        </w:rPr>
      </w:pPr>
      <w:bookmarkStart w:id="570" w:name="_Toc30475"/>
      <w:bookmarkStart w:id="571" w:name="_Toc21784"/>
      <w:bookmarkStart w:id="572" w:name="_Toc216582826"/>
      <w:bookmarkStart w:id="573" w:name="_Toc218935355"/>
      <w:bookmarkStart w:id="574" w:name="_Toc13975"/>
      <w:bookmarkStart w:id="575" w:name="_Toc15610"/>
      <w:bookmarkStart w:id="576" w:name="_Toc219175639"/>
      <w:r>
        <w:rPr>
          <w:rFonts w:hint="eastAsia" w:ascii="宋体" w:hAnsi="宋体" w:eastAsia="宋体" w:cs="宋体"/>
          <w:b/>
          <w:bCs/>
          <w:spacing w:val="-2"/>
          <w:sz w:val="24"/>
          <w:szCs w:val="24"/>
          <w:highlight w:val="none"/>
        </w:rPr>
        <w:t>一、项目概况及预算情况</w:t>
      </w:r>
    </w:p>
    <w:p w14:paraId="67A0A84E">
      <w:pPr>
        <w:keepNext w:val="0"/>
        <w:keepLines w:val="0"/>
        <w:pageBreakBefore w:val="0"/>
        <w:wordWrap/>
        <w:overflowPunct/>
        <w:topLinePunct w:val="0"/>
        <w:bidi w:val="0"/>
        <w:spacing w:line="360" w:lineRule="auto"/>
        <w:ind w:left="0" w:right="0" w:firstLine="484" w:firstLineChars="200"/>
        <w:rPr>
          <w:rFonts w:hint="eastAsia" w:ascii="宋体" w:hAnsi="宋体" w:eastAsia="宋体" w:cs="宋体"/>
          <w:sz w:val="24"/>
          <w:szCs w:val="24"/>
          <w:highlight w:val="none"/>
        </w:rPr>
      </w:pPr>
      <w:r>
        <w:rPr>
          <w:rFonts w:hint="eastAsia" w:ascii="宋体" w:hAnsi="宋体" w:eastAsia="宋体" w:cs="宋体"/>
          <w:spacing w:val="1"/>
          <w:sz w:val="24"/>
          <w:szCs w:val="24"/>
          <w:highlight w:val="none"/>
          <w:lang w:eastAsia="zh-CN"/>
        </w:rPr>
        <w:t>山东东盛建设项目管理有限公司</w:t>
      </w:r>
      <w:r>
        <w:rPr>
          <w:rFonts w:hint="eastAsia" w:ascii="宋体" w:hAnsi="宋体" w:eastAsia="宋体" w:cs="宋体"/>
          <w:spacing w:val="1"/>
          <w:sz w:val="24"/>
          <w:szCs w:val="24"/>
          <w:highlight w:val="none"/>
        </w:rPr>
        <w:t>受</w:t>
      </w:r>
      <w:r>
        <w:rPr>
          <w:rFonts w:hint="eastAsia" w:ascii="宋体" w:hAnsi="宋体" w:eastAsia="宋体" w:cs="宋体"/>
          <w:spacing w:val="-113"/>
          <w:sz w:val="24"/>
          <w:szCs w:val="24"/>
          <w:highlight w:val="none"/>
        </w:rPr>
        <w:t xml:space="preserve"> </w:t>
      </w:r>
      <w:r>
        <w:rPr>
          <w:rFonts w:hint="eastAsia" w:ascii="宋体" w:hAnsi="宋体" w:eastAsia="宋体" w:cs="宋体"/>
          <w:spacing w:val="-108"/>
          <w:sz w:val="24"/>
          <w:szCs w:val="24"/>
          <w:highlight w:val="none"/>
          <w:u w:val="single" w:color="auto"/>
        </w:rPr>
        <w:t xml:space="preserve"> </w:t>
      </w:r>
      <w:r>
        <w:rPr>
          <w:rFonts w:hint="eastAsia" w:ascii="宋体" w:hAnsi="宋体" w:eastAsia="宋体" w:cs="宋体"/>
          <w:spacing w:val="1"/>
          <w:sz w:val="24"/>
          <w:szCs w:val="24"/>
          <w:highlight w:val="none"/>
          <w:u w:val="single" w:color="auto"/>
        </w:rPr>
        <w:t>菏泽市住房和城乡建设局</w:t>
      </w:r>
      <w:r>
        <w:rPr>
          <w:rFonts w:hint="eastAsia" w:ascii="宋体" w:hAnsi="宋体" w:eastAsia="宋体" w:cs="宋体"/>
          <w:spacing w:val="1"/>
          <w:sz w:val="24"/>
          <w:szCs w:val="24"/>
          <w:highlight w:val="none"/>
        </w:rPr>
        <w:t>委托拟就其</w:t>
      </w:r>
      <w:r>
        <w:rPr>
          <w:rFonts w:hint="eastAsia" w:ascii="宋体" w:hAnsi="宋体" w:eastAsia="宋体" w:cs="宋体"/>
          <w:spacing w:val="2"/>
          <w:sz w:val="24"/>
          <w:szCs w:val="24"/>
          <w:highlight w:val="none"/>
        </w:rPr>
        <w:t>所需</w:t>
      </w:r>
      <w:r>
        <w:rPr>
          <w:rFonts w:hint="eastAsia" w:ascii="宋体" w:hAnsi="宋体" w:eastAsia="宋体" w:cs="宋体"/>
          <w:spacing w:val="2"/>
          <w:sz w:val="24"/>
          <w:szCs w:val="24"/>
          <w:highlight w:val="none"/>
          <w:u w:val="single" w:color="auto"/>
        </w:rPr>
        <w:t>菏泽市住房和城乡建设局</w:t>
      </w:r>
      <w:r>
        <w:rPr>
          <w:rFonts w:hint="eastAsia" w:ascii="宋体" w:hAnsi="宋体" w:eastAsia="宋体" w:cs="宋体"/>
          <w:spacing w:val="-67"/>
          <w:sz w:val="24"/>
          <w:szCs w:val="24"/>
          <w:highlight w:val="none"/>
          <w:u w:val="single" w:color="auto"/>
        </w:rPr>
        <w:t xml:space="preserve"> </w:t>
      </w:r>
      <w:r>
        <w:rPr>
          <w:rFonts w:hint="eastAsia" w:ascii="宋体" w:hAnsi="宋体" w:eastAsia="宋体" w:cs="宋体"/>
          <w:spacing w:val="2"/>
          <w:sz w:val="24"/>
          <w:szCs w:val="24"/>
          <w:highlight w:val="none"/>
          <w:u w:val="single" w:color="auto"/>
          <w:lang w:eastAsia="zh-CN"/>
        </w:rPr>
        <w:t>2025</w:t>
      </w:r>
      <w:r>
        <w:rPr>
          <w:rFonts w:hint="eastAsia" w:ascii="宋体" w:hAnsi="宋体" w:eastAsia="宋体" w:cs="宋体"/>
          <w:spacing w:val="2"/>
          <w:sz w:val="24"/>
          <w:szCs w:val="24"/>
          <w:highlight w:val="none"/>
          <w:u w:val="single" w:color="auto"/>
        </w:rPr>
        <w:t xml:space="preserve">年度第三方质量安全辅助巡查服务项目 </w:t>
      </w:r>
      <w:r>
        <w:rPr>
          <w:rFonts w:hint="eastAsia" w:ascii="宋体" w:hAnsi="宋体" w:eastAsia="宋体" w:cs="宋体"/>
          <w:spacing w:val="2"/>
          <w:sz w:val="24"/>
          <w:szCs w:val="24"/>
          <w:highlight w:val="none"/>
        </w:rPr>
        <w:t>实施政府</w:t>
      </w:r>
      <w:r>
        <w:rPr>
          <w:rFonts w:hint="eastAsia" w:ascii="宋体" w:hAnsi="宋体" w:eastAsia="宋体" w:cs="宋体"/>
          <w:spacing w:val="1"/>
          <w:sz w:val="24"/>
          <w:szCs w:val="24"/>
          <w:highlight w:val="none"/>
        </w:rPr>
        <w:t>采购，本项目采购方式：</w:t>
      </w:r>
      <w:r>
        <w:rPr>
          <w:rFonts w:hint="eastAsia" w:ascii="宋体" w:hAnsi="宋体" w:eastAsia="宋体" w:cs="宋体"/>
          <w:spacing w:val="1"/>
          <w:sz w:val="24"/>
          <w:szCs w:val="24"/>
          <w:highlight w:val="none"/>
          <w:u w:val="single" w:color="auto"/>
        </w:rPr>
        <w:t>竞争性磋商</w:t>
      </w:r>
      <w:r>
        <w:rPr>
          <w:rFonts w:hint="eastAsia" w:ascii="宋体" w:hAnsi="宋体" w:eastAsia="宋体" w:cs="宋体"/>
          <w:spacing w:val="1"/>
          <w:sz w:val="24"/>
          <w:szCs w:val="24"/>
          <w:highlight w:val="none"/>
        </w:rPr>
        <w:t>。</w:t>
      </w:r>
    </w:p>
    <w:p w14:paraId="2E5F5EF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textAlignment w:val="baseline"/>
        <w:rPr>
          <w:rFonts w:hint="eastAsia" w:ascii="宋体" w:hAnsi="宋体" w:eastAsia="宋体" w:cs="宋体"/>
          <w:b/>
          <w:bCs/>
          <w:spacing w:val="-2"/>
          <w:sz w:val="24"/>
          <w:szCs w:val="24"/>
          <w:highlight w:val="none"/>
        </w:rPr>
      </w:pPr>
      <w:r>
        <w:rPr>
          <w:rFonts w:hint="eastAsia" w:ascii="宋体" w:hAnsi="宋体" w:eastAsia="宋体" w:cs="宋体"/>
          <w:b/>
          <w:bCs/>
          <w:spacing w:val="-2"/>
          <w:sz w:val="24"/>
          <w:szCs w:val="24"/>
          <w:highlight w:val="none"/>
        </w:rPr>
        <w:t>二、采购标的具体情况</w:t>
      </w:r>
    </w:p>
    <w:p w14:paraId="63859CB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textAlignment w:val="baseline"/>
        <w:rPr>
          <w:rFonts w:hint="eastAsia" w:ascii="宋体" w:hAnsi="宋体" w:eastAsia="宋体" w:cs="宋体"/>
          <w:b/>
          <w:bCs/>
          <w:spacing w:val="-2"/>
          <w:sz w:val="24"/>
          <w:szCs w:val="24"/>
          <w:highlight w:val="none"/>
        </w:rPr>
      </w:pPr>
      <w:r>
        <w:rPr>
          <w:rFonts w:hint="eastAsia" w:ascii="宋体" w:hAnsi="宋体" w:eastAsia="宋体" w:cs="宋体"/>
          <w:b/>
          <w:bCs/>
          <w:spacing w:val="-2"/>
          <w:sz w:val="24"/>
          <w:szCs w:val="24"/>
          <w:highlight w:val="none"/>
          <w:lang w:eastAsia="zh-CN"/>
        </w:rPr>
        <w:t>（</w:t>
      </w:r>
      <w:r>
        <w:rPr>
          <w:rFonts w:hint="eastAsia" w:ascii="宋体" w:hAnsi="宋体" w:eastAsia="宋体" w:cs="宋体"/>
          <w:b/>
          <w:bCs/>
          <w:spacing w:val="-2"/>
          <w:sz w:val="24"/>
          <w:szCs w:val="24"/>
          <w:highlight w:val="none"/>
          <w:lang w:val="en-US" w:eastAsia="zh-CN"/>
        </w:rPr>
        <w:t>一</w:t>
      </w:r>
      <w:r>
        <w:rPr>
          <w:rFonts w:hint="eastAsia" w:ascii="宋体" w:hAnsi="宋体" w:eastAsia="宋体" w:cs="宋体"/>
          <w:b/>
          <w:bCs/>
          <w:spacing w:val="-2"/>
          <w:sz w:val="24"/>
          <w:szCs w:val="24"/>
          <w:highlight w:val="none"/>
          <w:lang w:eastAsia="zh-CN"/>
        </w:rPr>
        <w:t>）</w:t>
      </w:r>
      <w:r>
        <w:rPr>
          <w:rFonts w:hint="eastAsia" w:ascii="宋体" w:hAnsi="宋体" w:eastAsia="宋体" w:cs="宋体"/>
          <w:b/>
          <w:bCs/>
          <w:spacing w:val="-2"/>
          <w:sz w:val="24"/>
          <w:szCs w:val="24"/>
          <w:highlight w:val="none"/>
        </w:rPr>
        <w:t>.采购内容、数量及单项预算安排</w:t>
      </w:r>
    </w:p>
    <w:p w14:paraId="63C90E0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宋体" w:hAnsi="宋体" w:eastAsia="宋体" w:cs="宋体"/>
          <w:spacing w:val="3"/>
          <w:sz w:val="24"/>
          <w:szCs w:val="24"/>
          <w:highlight w:val="none"/>
        </w:rPr>
      </w:pPr>
      <w:r>
        <w:rPr>
          <w:rFonts w:hint="eastAsia" w:ascii="宋体" w:hAnsi="宋体" w:eastAsia="宋体" w:cs="宋体"/>
          <w:spacing w:val="1"/>
          <w:sz w:val="24"/>
          <w:szCs w:val="24"/>
          <w:highlight w:val="none"/>
          <w:lang w:eastAsia="zh-CN"/>
        </w:rPr>
        <w:t>为贯彻落实中共中央国务院《关于开展质量提升行动的指导意见》《关于推进安全生产领域改革发展的意见》《关于促进建筑业持续健康发展的意见》《转发住房城乡建设部关于完善质量保障体系提升建筑工程品质指导意见的通知》、省委省政府《关于开展质量提升行动的实施方案》《贯彻国办发﹝2017﹞19号文件促进建筑业改革发展的实施意见》《关于进一步促进建筑业改革发展的十六条意见》《关于开展建筑施工安全治理行动的通知》、山东省住房和城乡建设厅《关于开展全省建筑工程质量安全辅助巡查工作的通知》《关于在工程质量安全辅助巡查工作中增加重点材料</w:t>
      </w:r>
      <w:r>
        <w:rPr>
          <w:rFonts w:hint="eastAsia" w:ascii="宋体" w:hAnsi="宋体" w:eastAsia="宋体" w:cs="宋体"/>
          <w:spacing w:val="3"/>
          <w:sz w:val="24"/>
          <w:szCs w:val="24"/>
          <w:highlight w:val="none"/>
        </w:rPr>
        <w:t>质量抽测的通知》，切实加强我市建设工程项目各环节质量、安全监管力度，进一步完善质量安全监管机制，全面掌握施工现场生产活动状况，调动建设、施工、监理等各方责任主体提升质量安全的主观能动性，全面推动我市工程质量安全水平的提升。按照有关规定，确定开展本次全市范围内的房屋建筑工程项目质量安全巡查。本次巡查的主要内容包括在建工程实体质量情况、施工现场安全生产情况、内业资料整理情况、受检工程参建主体质量安全行为情况以及扬尘治理情况。</w:t>
      </w:r>
    </w:p>
    <w:p w14:paraId="7DD770C1">
      <w:pPr>
        <w:keepNext w:val="0"/>
        <w:keepLines w:val="0"/>
        <w:pageBreakBefore w:val="0"/>
        <w:wordWrap/>
        <w:overflowPunct/>
        <w:topLinePunct w:val="0"/>
        <w:bidi w:val="0"/>
        <w:spacing w:line="360" w:lineRule="auto"/>
        <w:ind w:left="0" w:right="0" w:firstLine="492" w:firstLineChars="200"/>
        <w:jc w:val="both"/>
        <w:rPr>
          <w:rFonts w:hint="eastAsia" w:ascii="宋体" w:hAnsi="宋体" w:eastAsia="宋体" w:cs="宋体"/>
          <w:sz w:val="24"/>
          <w:szCs w:val="24"/>
          <w:highlight w:val="none"/>
        </w:rPr>
      </w:pPr>
      <w:r>
        <w:rPr>
          <w:rFonts w:hint="eastAsia" w:ascii="宋体" w:hAnsi="宋体" w:eastAsia="宋体" w:cs="宋体"/>
          <w:spacing w:val="3"/>
          <w:sz w:val="24"/>
          <w:szCs w:val="24"/>
          <w:highlight w:val="none"/>
          <w:lang w:val="en-US" w:eastAsia="zh-CN"/>
        </w:rPr>
        <w:t>1</w:t>
      </w:r>
      <w:r>
        <w:rPr>
          <w:rFonts w:hint="eastAsia" w:ascii="宋体" w:hAnsi="宋体" w:eastAsia="宋体" w:cs="宋体"/>
          <w:spacing w:val="3"/>
          <w:sz w:val="24"/>
          <w:szCs w:val="24"/>
          <w:highlight w:val="none"/>
        </w:rPr>
        <w:t>、工程项目质量安全检查。组建专门的检查组对菏泽市在建房屋建筑及市政 工程（以下简称“在建工程”）质量、安全进行</w:t>
      </w:r>
      <w:r>
        <w:rPr>
          <w:rFonts w:hint="eastAsia" w:ascii="宋体" w:hAnsi="宋体" w:eastAsia="宋体" w:cs="宋体"/>
          <w:spacing w:val="3"/>
          <w:sz w:val="24"/>
          <w:szCs w:val="24"/>
          <w:highlight w:val="none"/>
          <w:lang w:val="en-US" w:eastAsia="zh-CN"/>
        </w:rPr>
        <w:t>明察</w:t>
      </w:r>
      <w:r>
        <w:rPr>
          <w:rFonts w:hint="eastAsia" w:ascii="宋体" w:hAnsi="宋体" w:eastAsia="宋体" w:cs="宋体"/>
          <w:spacing w:val="3"/>
          <w:sz w:val="24"/>
          <w:szCs w:val="24"/>
          <w:highlight w:val="none"/>
        </w:rPr>
        <w:t>暗访，巡查项目应覆盖七县三区项目， 每两个月巡查一次</w:t>
      </w:r>
      <w:r>
        <w:rPr>
          <w:rFonts w:hint="eastAsia" w:ascii="宋体" w:hAnsi="宋体" w:eastAsia="宋体" w:cs="宋体"/>
          <w:spacing w:val="3"/>
          <w:sz w:val="24"/>
          <w:szCs w:val="24"/>
          <w:highlight w:val="none"/>
          <w:lang w:eastAsia="zh-CN"/>
        </w:rPr>
        <w:t>（</w:t>
      </w:r>
      <w:r>
        <w:rPr>
          <w:rFonts w:hint="eastAsia" w:ascii="宋体" w:hAnsi="宋体" w:eastAsia="宋体" w:cs="宋体"/>
          <w:spacing w:val="3"/>
          <w:sz w:val="24"/>
          <w:szCs w:val="24"/>
          <w:highlight w:val="none"/>
          <w:lang w:val="en-US" w:eastAsia="zh-CN"/>
        </w:rPr>
        <w:t>两个月内完成本轮巡查</w:t>
      </w:r>
      <w:r>
        <w:rPr>
          <w:rFonts w:hint="eastAsia" w:ascii="宋体" w:hAnsi="宋体" w:eastAsia="宋体" w:cs="宋体"/>
          <w:spacing w:val="3"/>
          <w:sz w:val="24"/>
          <w:szCs w:val="24"/>
          <w:highlight w:val="none"/>
          <w:lang w:eastAsia="zh-CN"/>
        </w:rPr>
        <w:t>）</w:t>
      </w:r>
      <w:r>
        <w:rPr>
          <w:rFonts w:hint="eastAsia" w:ascii="宋体" w:hAnsi="宋体" w:eastAsia="宋体" w:cs="宋体"/>
          <w:spacing w:val="3"/>
          <w:sz w:val="24"/>
          <w:szCs w:val="24"/>
          <w:highlight w:val="none"/>
        </w:rPr>
        <w:t>，每次每县区</w:t>
      </w:r>
      <w:r>
        <w:rPr>
          <w:rFonts w:hint="eastAsia" w:ascii="宋体" w:hAnsi="宋体" w:eastAsia="宋体" w:cs="宋体"/>
          <w:spacing w:val="-1"/>
          <w:sz w:val="24"/>
          <w:szCs w:val="24"/>
          <w:highlight w:val="none"/>
        </w:rPr>
        <w:t>抽查项目不少于</w:t>
      </w:r>
      <w:r>
        <w:rPr>
          <w:rFonts w:hint="eastAsia" w:ascii="宋体" w:hAnsi="宋体" w:eastAsia="宋体" w:cs="宋体"/>
          <w:spacing w:val="-43"/>
          <w:sz w:val="24"/>
          <w:szCs w:val="24"/>
          <w:highlight w:val="none"/>
        </w:rPr>
        <w:t xml:space="preserve"> </w:t>
      </w:r>
      <w:r>
        <w:rPr>
          <w:rFonts w:hint="eastAsia" w:ascii="宋体" w:hAnsi="宋体" w:eastAsia="宋体" w:cs="宋体"/>
          <w:spacing w:val="-1"/>
          <w:sz w:val="24"/>
          <w:szCs w:val="24"/>
          <w:highlight w:val="none"/>
        </w:rPr>
        <w:t>6</w:t>
      </w:r>
      <w:r>
        <w:rPr>
          <w:rFonts w:hint="eastAsia" w:ascii="宋体" w:hAnsi="宋体" w:eastAsia="宋体" w:cs="宋体"/>
          <w:spacing w:val="-50"/>
          <w:sz w:val="24"/>
          <w:szCs w:val="24"/>
          <w:highlight w:val="none"/>
        </w:rPr>
        <w:t xml:space="preserve"> </w:t>
      </w:r>
      <w:r>
        <w:rPr>
          <w:rFonts w:hint="eastAsia" w:ascii="宋体" w:hAnsi="宋体" w:eastAsia="宋体" w:cs="宋体"/>
          <w:spacing w:val="-1"/>
          <w:sz w:val="24"/>
          <w:szCs w:val="24"/>
          <w:highlight w:val="none"/>
        </w:rPr>
        <w:t>个，全年巡查不少于</w:t>
      </w:r>
      <w:r>
        <w:rPr>
          <w:rFonts w:hint="eastAsia" w:ascii="宋体" w:hAnsi="宋体" w:eastAsia="宋体" w:cs="宋体"/>
          <w:spacing w:val="-2"/>
          <w:sz w:val="24"/>
          <w:szCs w:val="24"/>
          <w:highlight w:val="none"/>
        </w:rPr>
        <w:t>6轮，项目总</w:t>
      </w:r>
      <w:r>
        <w:rPr>
          <w:rFonts w:hint="eastAsia" w:ascii="宋体" w:hAnsi="宋体" w:eastAsia="宋体" w:cs="宋体"/>
          <w:spacing w:val="-1"/>
          <w:sz w:val="24"/>
          <w:szCs w:val="24"/>
          <w:highlight w:val="none"/>
        </w:rPr>
        <w:t>数不少于360个。巡查内容包括在建工程过程质量控制情况、实体质量情况、重点材</w:t>
      </w:r>
      <w:r>
        <w:rPr>
          <w:rFonts w:hint="eastAsia" w:ascii="宋体" w:hAnsi="宋体" w:eastAsia="宋体" w:cs="宋体"/>
          <w:sz w:val="24"/>
          <w:szCs w:val="24"/>
          <w:highlight w:val="none"/>
        </w:rPr>
        <w:t>料抽测情况、施工现场安全生产情况、</w:t>
      </w:r>
      <w:r>
        <w:rPr>
          <w:rFonts w:hint="eastAsia" w:ascii="宋体" w:hAnsi="宋体" w:eastAsia="宋体" w:cs="宋体"/>
          <w:sz w:val="24"/>
          <w:szCs w:val="24"/>
          <w:highlight w:val="none"/>
          <w:lang w:val="en-US" w:eastAsia="zh-CN"/>
        </w:rPr>
        <w:t>安责险投保情况、</w:t>
      </w:r>
      <w:r>
        <w:rPr>
          <w:rFonts w:hint="eastAsia" w:ascii="宋体" w:hAnsi="宋体" w:eastAsia="宋体" w:cs="宋体"/>
          <w:sz w:val="24"/>
          <w:szCs w:val="24"/>
          <w:highlight w:val="none"/>
        </w:rPr>
        <w:t>内业资料整理（包含见证取样资料）情况、受检工程各参建主体质量安全行为情况以及扬尘治理情况，并对巡查中发现存在重大隐患项目进行复核。巡查过程中应定期形成阶段性巡查报告，报告中应根据巡查情况，综合分析工程质量问题及安全隐患和薄弱环节，提出应对意见和建议，并在规定时间前提交书面巡查工作报告。</w:t>
      </w:r>
    </w:p>
    <w:p w14:paraId="5E229CE4">
      <w:pPr>
        <w:keepNext w:val="0"/>
        <w:keepLines w:val="0"/>
        <w:pageBreakBefore w:val="0"/>
        <w:wordWrap/>
        <w:overflowPunct/>
        <w:topLinePunct w:val="0"/>
        <w:bidi w:val="0"/>
        <w:spacing w:line="360" w:lineRule="auto"/>
        <w:ind w:left="0" w:right="0" w:firstLine="476" w:firstLineChars="200"/>
        <w:jc w:val="both"/>
        <w:rPr>
          <w:rFonts w:hint="eastAsia" w:ascii="宋体" w:hAnsi="宋体" w:eastAsia="宋体" w:cs="宋体"/>
          <w:spacing w:val="-1"/>
          <w:sz w:val="24"/>
          <w:szCs w:val="24"/>
          <w:highlight w:val="none"/>
        </w:rPr>
      </w:pPr>
      <w:r>
        <w:rPr>
          <w:rFonts w:hint="eastAsia" w:ascii="宋体" w:hAnsi="宋体" w:eastAsia="宋体" w:cs="宋体"/>
          <w:spacing w:val="-1"/>
          <w:sz w:val="24"/>
          <w:szCs w:val="24"/>
          <w:highlight w:val="none"/>
          <w:lang w:val="en-US" w:eastAsia="zh-CN"/>
        </w:rPr>
        <w:t>2</w:t>
      </w:r>
      <w:r>
        <w:rPr>
          <w:rFonts w:hint="eastAsia" w:ascii="宋体" w:hAnsi="宋体" w:eastAsia="宋体" w:cs="宋体"/>
          <w:spacing w:val="-1"/>
          <w:sz w:val="24"/>
          <w:szCs w:val="24"/>
          <w:highlight w:val="none"/>
        </w:rPr>
        <w:t>、起重机械安全检查。对菏泽市在建工程施工现场使用的</w:t>
      </w:r>
      <w:r>
        <w:rPr>
          <w:rFonts w:hint="eastAsia" w:ascii="宋体" w:hAnsi="宋体" w:eastAsia="宋体" w:cs="宋体"/>
          <w:spacing w:val="-2"/>
          <w:sz w:val="24"/>
          <w:szCs w:val="24"/>
          <w:highlight w:val="none"/>
        </w:rPr>
        <w:t>起重机械进行安全</w:t>
      </w:r>
      <w:r>
        <w:rPr>
          <w:rFonts w:hint="eastAsia" w:ascii="宋体" w:hAnsi="宋体" w:eastAsia="宋体" w:cs="宋体"/>
          <w:spacing w:val="-1"/>
          <w:sz w:val="24"/>
          <w:szCs w:val="24"/>
          <w:highlight w:val="none"/>
        </w:rPr>
        <w:t>检查，检查总数应不少于</w:t>
      </w:r>
      <w:r>
        <w:rPr>
          <w:rFonts w:hint="eastAsia" w:ascii="宋体" w:hAnsi="宋体" w:eastAsia="宋体" w:cs="宋体"/>
          <w:spacing w:val="-42"/>
          <w:sz w:val="24"/>
          <w:szCs w:val="24"/>
          <w:highlight w:val="none"/>
        </w:rPr>
        <w:t xml:space="preserve"> </w:t>
      </w:r>
      <w:r>
        <w:rPr>
          <w:rFonts w:hint="eastAsia" w:ascii="宋体" w:hAnsi="宋体" w:eastAsia="宋体" w:cs="宋体"/>
          <w:spacing w:val="-1"/>
          <w:sz w:val="24"/>
          <w:szCs w:val="24"/>
          <w:highlight w:val="none"/>
        </w:rPr>
        <w:t>720</w:t>
      </w:r>
      <w:r>
        <w:rPr>
          <w:rFonts w:hint="eastAsia" w:ascii="宋体" w:hAnsi="宋体" w:eastAsia="宋体" w:cs="宋体"/>
          <w:spacing w:val="-30"/>
          <w:sz w:val="24"/>
          <w:szCs w:val="24"/>
          <w:highlight w:val="none"/>
        </w:rPr>
        <w:t xml:space="preserve"> </w:t>
      </w:r>
      <w:r>
        <w:rPr>
          <w:rFonts w:hint="eastAsia" w:ascii="宋体" w:hAnsi="宋体" w:eastAsia="宋体" w:cs="宋体"/>
          <w:spacing w:val="-1"/>
          <w:sz w:val="24"/>
          <w:szCs w:val="24"/>
          <w:highlight w:val="none"/>
        </w:rPr>
        <w:t>台。检查内容应包括：基础部分，结构及连</w:t>
      </w:r>
      <w:r>
        <w:rPr>
          <w:rFonts w:hint="eastAsia" w:ascii="宋体" w:hAnsi="宋体" w:eastAsia="宋体" w:cs="宋体"/>
          <w:spacing w:val="-2"/>
          <w:sz w:val="24"/>
          <w:szCs w:val="24"/>
          <w:highlight w:val="none"/>
        </w:rPr>
        <w:t>接部位，附</w:t>
      </w:r>
      <w:r>
        <w:rPr>
          <w:rFonts w:hint="eastAsia" w:ascii="宋体" w:hAnsi="宋体" w:eastAsia="宋体" w:cs="宋体"/>
          <w:spacing w:val="-3"/>
          <w:sz w:val="24"/>
          <w:szCs w:val="24"/>
          <w:highlight w:val="none"/>
        </w:rPr>
        <w:t>着及锚固，安拆方案（包含专家论证</w:t>
      </w:r>
      <w:r>
        <w:rPr>
          <w:rFonts w:hint="eastAsia" w:ascii="宋体" w:hAnsi="宋体" w:eastAsia="宋体" w:cs="宋体"/>
          <w:spacing w:val="-23"/>
          <w:sz w:val="24"/>
          <w:szCs w:val="24"/>
          <w:highlight w:val="none"/>
        </w:rPr>
        <w:t>），</w:t>
      </w:r>
      <w:r>
        <w:rPr>
          <w:rFonts w:hint="eastAsia" w:ascii="宋体" w:hAnsi="宋体" w:eastAsia="宋体" w:cs="宋体"/>
          <w:spacing w:val="-3"/>
          <w:sz w:val="24"/>
          <w:szCs w:val="24"/>
          <w:highlight w:val="none"/>
        </w:rPr>
        <w:t>维修保养记录等</w:t>
      </w:r>
      <w:r>
        <w:rPr>
          <w:rFonts w:hint="eastAsia" w:ascii="宋体" w:hAnsi="宋体" w:eastAsia="宋体" w:cs="宋体"/>
          <w:spacing w:val="-4"/>
          <w:sz w:val="24"/>
          <w:szCs w:val="24"/>
          <w:highlight w:val="none"/>
        </w:rPr>
        <w:t>，特殊工种证件及培训情况，</w:t>
      </w:r>
      <w:r>
        <w:rPr>
          <w:rFonts w:hint="eastAsia" w:ascii="宋体" w:hAnsi="宋体" w:eastAsia="宋体" w:cs="宋体"/>
          <w:sz w:val="24"/>
          <w:szCs w:val="24"/>
          <w:highlight w:val="none"/>
        </w:rPr>
        <w:t>是否</w:t>
      </w:r>
      <w:r>
        <w:rPr>
          <w:rFonts w:hint="eastAsia" w:ascii="宋体" w:hAnsi="宋体" w:eastAsia="宋体" w:cs="宋体"/>
          <w:spacing w:val="-1"/>
          <w:sz w:val="24"/>
          <w:szCs w:val="24"/>
          <w:highlight w:val="none"/>
        </w:rPr>
        <w:t>存在操作、使用违规行为等。</w:t>
      </w:r>
    </w:p>
    <w:p w14:paraId="4ADE22F4">
      <w:pPr>
        <w:keepNext w:val="0"/>
        <w:keepLines w:val="0"/>
        <w:pageBreakBefore w:val="0"/>
        <w:wordWrap/>
        <w:overflowPunct/>
        <w:topLinePunct w:val="0"/>
        <w:bidi w:val="0"/>
        <w:spacing w:line="360" w:lineRule="auto"/>
        <w:ind w:left="0" w:right="0" w:firstLine="476" w:firstLineChars="200"/>
        <w:jc w:val="both"/>
        <w:rPr>
          <w:rFonts w:hint="eastAsia" w:ascii="宋体" w:hAnsi="宋体" w:eastAsia="宋体" w:cs="宋体"/>
          <w:spacing w:val="-1"/>
          <w:sz w:val="24"/>
          <w:szCs w:val="24"/>
          <w:highlight w:val="none"/>
          <w:lang w:val="en-US" w:eastAsia="zh-CN"/>
        </w:rPr>
      </w:pPr>
      <w:r>
        <w:rPr>
          <w:rFonts w:hint="eastAsia" w:ascii="宋体" w:hAnsi="宋体" w:eastAsia="宋体" w:cs="宋体"/>
          <w:spacing w:val="-1"/>
          <w:sz w:val="24"/>
          <w:szCs w:val="24"/>
          <w:highlight w:val="none"/>
          <w:lang w:val="en-US" w:eastAsia="zh-CN"/>
        </w:rPr>
        <w:t>3</w:t>
      </w:r>
      <w:r>
        <w:rPr>
          <w:rFonts w:hint="eastAsia" w:ascii="宋体" w:hAnsi="宋体" w:eastAsia="宋体" w:cs="宋体"/>
          <w:spacing w:val="-1"/>
          <w:sz w:val="24"/>
          <w:szCs w:val="24"/>
          <w:highlight w:val="none"/>
          <w:lang w:eastAsia="zh-CN"/>
        </w:rPr>
        <w:t>、安全生产许可证动态核查。</w:t>
      </w:r>
      <w:r>
        <w:rPr>
          <w:rFonts w:hint="eastAsia" w:ascii="宋体" w:hAnsi="宋体" w:eastAsia="宋体" w:cs="宋体"/>
          <w:spacing w:val="-1"/>
          <w:sz w:val="24"/>
          <w:szCs w:val="24"/>
          <w:highlight w:val="none"/>
          <w:lang w:val="en-US" w:eastAsia="zh-CN"/>
        </w:rPr>
        <w:t>核查范围应包括：</w:t>
      </w:r>
      <w:r>
        <w:rPr>
          <w:rFonts w:hint="eastAsia" w:ascii="宋体" w:hAnsi="宋体" w:eastAsia="宋体" w:cs="宋体"/>
          <w:spacing w:val="-1"/>
          <w:sz w:val="24"/>
          <w:szCs w:val="24"/>
          <w:highlight w:val="none"/>
          <w:lang w:eastAsia="zh-CN"/>
        </w:rPr>
        <w:t>在</w:t>
      </w:r>
      <w:r>
        <w:rPr>
          <w:rFonts w:hint="eastAsia" w:ascii="宋体" w:hAnsi="宋体" w:eastAsia="宋体" w:cs="宋体"/>
          <w:spacing w:val="-1"/>
          <w:sz w:val="24"/>
          <w:szCs w:val="24"/>
          <w:highlight w:val="none"/>
          <w:lang w:val="en-US" w:eastAsia="zh-CN"/>
        </w:rPr>
        <w:t>菏泽市</w:t>
      </w:r>
      <w:r>
        <w:rPr>
          <w:rFonts w:hint="eastAsia" w:ascii="宋体" w:hAnsi="宋体" w:eastAsia="宋体" w:cs="宋体"/>
          <w:spacing w:val="-1"/>
          <w:sz w:val="24"/>
          <w:szCs w:val="24"/>
          <w:highlight w:val="none"/>
          <w:lang w:eastAsia="zh-CN"/>
        </w:rPr>
        <w:t>已取得建筑施工安全生产许可证的建筑施工企业。</w:t>
      </w:r>
      <w:r>
        <w:rPr>
          <w:rFonts w:hint="eastAsia" w:ascii="宋体" w:hAnsi="宋体" w:eastAsia="宋体" w:cs="宋体"/>
          <w:spacing w:val="-1"/>
          <w:sz w:val="24"/>
          <w:szCs w:val="24"/>
          <w:highlight w:val="none"/>
          <w:lang w:val="en-US" w:eastAsia="zh-CN"/>
        </w:rPr>
        <w:t>核查内容应包括：配合市住建局完成上级主管部门下发的核查任务及市住建局交代的核查任务。</w:t>
      </w:r>
    </w:p>
    <w:p w14:paraId="1C063722">
      <w:pPr>
        <w:keepNext w:val="0"/>
        <w:keepLines w:val="0"/>
        <w:pageBreakBefore w:val="0"/>
        <w:wordWrap/>
        <w:overflowPunct/>
        <w:topLinePunct w:val="0"/>
        <w:bidi w:val="0"/>
        <w:spacing w:line="360" w:lineRule="auto"/>
        <w:ind w:left="0" w:right="0" w:firstLine="476" w:firstLineChars="200"/>
        <w:rPr>
          <w:rFonts w:hint="eastAsia" w:ascii="宋体" w:hAnsi="宋体" w:eastAsia="宋体" w:cs="宋体"/>
          <w:sz w:val="24"/>
          <w:szCs w:val="24"/>
          <w:highlight w:val="none"/>
        </w:rPr>
      </w:pPr>
      <w:r>
        <w:rPr>
          <w:rFonts w:hint="eastAsia" w:ascii="宋体" w:hAnsi="宋体" w:eastAsia="宋体" w:cs="宋体"/>
          <w:b/>
          <w:bCs/>
          <w:spacing w:val="-1"/>
          <w:sz w:val="24"/>
          <w:szCs w:val="24"/>
          <w:highlight w:val="none"/>
          <w:lang w:eastAsia="zh-CN"/>
        </w:rPr>
        <w:t>（</w:t>
      </w:r>
      <w:r>
        <w:rPr>
          <w:rFonts w:hint="eastAsia" w:ascii="宋体" w:hAnsi="宋体" w:eastAsia="宋体" w:cs="宋体"/>
          <w:b/>
          <w:bCs/>
          <w:spacing w:val="-1"/>
          <w:sz w:val="24"/>
          <w:szCs w:val="24"/>
          <w:highlight w:val="none"/>
          <w:lang w:val="en-US" w:eastAsia="zh-CN"/>
        </w:rPr>
        <w:t>二</w:t>
      </w:r>
      <w:r>
        <w:rPr>
          <w:rFonts w:hint="eastAsia" w:ascii="宋体" w:hAnsi="宋体" w:eastAsia="宋体" w:cs="宋体"/>
          <w:b/>
          <w:bCs/>
          <w:spacing w:val="-1"/>
          <w:sz w:val="24"/>
          <w:szCs w:val="24"/>
          <w:highlight w:val="none"/>
          <w:lang w:eastAsia="zh-CN"/>
        </w:rPr>
        <w:t>）</w:t>
      </w:r>
      <w:r>
        <w:rPr>
          <w:rFonts w:hint="eastAsia" w:ascii="宋体" w:hAnsi="宋体" w:eastAsia="宋体" w:cs="宋体"/>
          <w:b/>
          <w:bCs/>
          <w:spacing w:val="-1"/>
          <w:sz w:val="24"/>
          <w:szCs w:val="24"/>
          <w:highlight w:val="none"/>
        </w:rPr>
        <w:t>.采购标的需实现的功能或目标</w:t>
      </w:r>
    </w:p>
    <w:p w14:paraId="2DE730AB">
      <w:pPr>
        <w:keepNext w:val="0"/>
        <w:keepLines w:val="0"/>
        <w:pageBreakBefore w:val="0"/>
        <w:wordWrap/>
        <w:overflowPunct/>
        <w:topLinePunct w:val="0"/>
        <w:bidi w:val="0"/>
        <w:spacing w:line="360" w:lineRule="auto"/>
        <w:ind w:left="0" w:right="0" w:firstLine="484" w:firstLineChars="200"/>
        <w:jc w:val="both"/>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需提交所检查项目的工程实体质量情况、重点材料质量抽测情况、施工现场安全</w:t>
      </w:r>
      <w:r>
        <w:rPr>
          <w:rFonts w:hint="eastAsia" w:ascii="宋体" w:hAnsi="宋体" w:eastAsia="宋体" w:cs="宋体"/>
          <w:spacing w:val="2"/>
          <w:sz w:val="24"/>
          <w:szCs w:val="24"/>
          <w:highlight w:val="none"/>
        </w:rPr>
        <w:t>生产情况、内业资料整理情况、受检工程各参建主体</w:t>
      </w:r>
      <w:r>
        <w:rPr>
          <w:rFonts w:hint="eastAsia" w:ascii="宋体" w:hAnsi="宋体" w:eastAsia="宋体" w:cs="宋体"/>
          <w:spacing w:val="1"/>
          <w:sz w:val="24"/>
          <w:szCs w:val="24"/>
          <w:highlight w:val="none"/>
        </w:rPr>
        <w:t>质量安全行为情况以及扬尘治理情况的巡查情况记录，结合工程质量问题及安全隐患和薄弱环节所检查情况，每次形成巡查单轮报告和年度总报告，并附相关影像资料。结合菏泽市住房和城乡建设局监督检查重点安排，侧重以下巡查内容：</w:t>
      </w:r>
    </w:p>
    <w:p w14:paraId="02760B60">
      <w:pPr>
        <w:keepNext w:val="0"/>
        <w:keepLines w:val="0"/>
        <w:pageBreakBefore w:val="0"/>
        <w:wordWrap/>
        <w:overflowPunct/>
        <w:topLinePunct w:val="0"/>
        <w:bidi w:val="0"/>
        <w:spacing w:line="360" w:lineRule="auto"/>
        <w:ind w:left="0" w:right="0" w:firstLine="468" w:firstLineChars="200"/>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1、房屋建筑工程</w:t>
      </w:r>
    </w:p>
    <w:p w14:paraId="0A26E5DE">
      <w:pPr>
        <w:keepNext w:val="0"/>
        <w:keepLines w:val="0"/>
        <w:pageBreakBefore w:val="0"/>
        <w:wordWrap/>
        <w:overflowPunct/>
        <w:topLinePunct w:val="0"/>
        <w:bidi w:val="0"/>
        <w:spacing w:line="360" w:lineRule="auto"/>
        <w:ind w:left="0" w:right="0" w:firstLine="476" w:firstLineChars="200"/>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（1）工程实体质量情况</w:t>
      </w:r>
    </w:p>
    <w:p w14:paraId="50B71437">
      <w:pPr>
        <w:keepNext w:val="0"/>
        <w:keepLines w:val="0"/>
        <w:pageBreakBefore w:val="0"/>
        <w:wordWrap/>
        <w:overflowPunct/>
        <w:topLinePunct w:val="0"/>
        <w:bidi w:val="0"/>
        <w:spacing w:line="360" w:lineRule="auto"/>
        <w:ind w:left="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1）参建各方主体落实工程质量终身责任制情况；</w:t>
      </w:r>
    </w:p>
    <w:p w14:paraId="2A504540">
      <w:pPr>
        <w:keepNext w:val="0"/>
        <w:keepLines w:val="0"/>
        <w:pageBreakBefore w:val="0"/>
        <w:wordWrap/>
        <w:overflowPunct/>
        <w:topLinePunct w:val="0"/>
        <w:bidi w:val="0"/>
        <w:spacing w:line="360" w:lineRule="auto"/>
        <w:ind w:left="0" w:right="0" w:firstLine="472" w:firstLineChars="200"/>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2）建设项目施工资料记录和管理情况，重点检查施工图设计变更文</w:t>
      </w:r>
      <w:r>
        <w:rPr>
          <w:rFonts w:hint="eastAsia" w:ascii="宋体" w:hAnsi="宋体" w:eastAsia="宋体" w:cs="宋体"/>
          <w:spacing w:val="-3"/>
          <w:sz w:val="24"/>
          <w:szCs w:val="24"/>
          <w:highlight w:val="none"/>
        </w:rPr>
        <w:t>件、施工试验</w:t>
      </w:r>
      <w:r>
        <w:rPr>
          <w:rFonts w:hint="eastAsia" w:ascii="宋体" w:hAnsi="宋体" w:eastAsia="宋体" w:cs="宋体"/>
          <w:sz w:val="24"/>
          <w:szCs w:val="24"/>
          <w:highlight w:val="none"/>
        </w:rPr>
        <w:t>报告、日志、质量验收记录等；</w:t>
      </w:r>
    </w:p>
    <w:p w14:paraId="3F07B31B">
      <w:pPr>
        <w:keepNext w:val="0"/>
        <w:keepLines w:val="0"/>
        <w:pageBreakBefore w:val="0"/>
        <w:wordWrap/>
        <w:overflowPunct/>
        <w:topLinePunct w:val="0"/>
        <w:bidi w:val="0"/>
        <w:spacing w:line="360" w:lineRule="auto"/>
        <w:ind w:left="0" w:right="0" w:firstLine="484" w:firstLineChars="200"/>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3）建筑材料进场验收及见证取样制度执行</w:t>
      </w:r>
      <w:r>
        <w:rPr>
          <w:rFonts w:hint="eastAsia" w:ascii="宋体" w:hAnsi="宋体" w:eastAsia="宋体" w:cs="宋体"/>
          <w:sz w:val="24"/>
          <w:szCs w:val="24"/>
          <w:highlight w:val="none"/>
        </w:rPr>
        <w:t>情况；</w:t>
      </w:r>
    </w:p>
    <w:p w14:paraId="38EB68E4">
      <w:pPr>
        <w:keepNext w:val="0"/>
        <w:keepLines w:val="0"/>
        <w:pageBreakBefore w:val="0"/>
        <w:wordWrap/>
        <w:overflowPunct/>
        <w:topLinePunct w:val="0"/>
        <w:bidi w:val="0"/>
        <w:spacing w:line="360" w:lineRule="auto"/>
        <w:ind w:left="0" w:right="0" w:firstLine="472" w:firstLineChars="200"/>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4）工程建设执行强制性标准，实体质量控制情况，重点检查影响结构安全分部分</w:t>
      </w:r>
      <w:r>
        <w:rPr>
          <w:rFonts w:hint="eastAsia" w:ascii="宋体" w:hAnsi="宋体" w:eastAsia="宋体" w:cs="宋体"/>
          <w:spacing w:val="1"/>
          <w:sz w:val="24"/>
          <w:szCs w:val="24"/>
          <w:highlight w:val="none"/>
        </w:rPr>
        <w:t>项工程质量，对实体质量</w:t>
      </w:r>
      <w:r>
        <w:rPr>
          <w:rFonts w:hint="eastAsia" w:ascii="宋体" w:hAnsi="宋体" w:eastAsia="宋体" w:cs="宋体"/>
          <w:spacing w:val="-2"/>
          <w:sz w:val="24"/>
          <w:szCs w:val="24"/>
          <w:highlight w:val="none"/>
        </w:rPr>
        <w:t>进行实测实量，对重点材料进行质量抽测并出具正式检测报告（所涉及的出具检测报告费用以及相关费用由成交供应商承担，在报价中综合考虑），主要建材抽测与工程质量安全巡查同步进行，主要对预拌混凝土、钢筋、保温材料、防水材料、砖砌体、砌筑砂浆等六种重点材料质量进行抽测。抽取的样品，在受检项</w:t>
      </w:r>
      <w:r>
        <w:rPr>
          <w:rFonts w:hint="eastAsia" w:ascii="宋体" w:hAnsi="宋体" w:eastAsia="宋体" w:cs="宋体"/>
          <w:sz w:val="24"/>
          <w:szCs w:val="24"/>
          <w:highlight w:val="none"/>
        </w:rPr>
        <w:t>目参建单位的见证下，由检查组进行盲样封样，委托具有检测资质的机构检测并出具</w:t>
      </w:r>
      <w:r>
        <w:rPr>
          <w:rFonts w:hint="eastAsia" w:ascii="宋体" w:hAnsi="宋体" w:eastAsia="宋体" w:cs="宋体"/>
          <w:spacing w:val="1"/>
          <w:sz w:val="24"/>
          <w:szCs w:val="24"/>
          <w:highlight w:val="none"/>
        </w:rPr>
        <w:t>检测报告。每个项目抽查以上每种材料不少于三组。具体内容如下：</w:t>
      </w:r>
    </w:p>
    <w:p w14:paraId="7BB4C851">
      <w:pPr>
        <w:keepNext w:val="0"/>
        <w:keepLines w:val="0"/>
        <w:pageBreakBefore w:val="0"/>
        <w:wordWrap/>
        <w:overflowPunct/>
        <w:topLinePunct w:val="0"/>
        <w:bidi w:val="0"/>
        <w:spacing w:line="360" w:lineRule="auto"/>
        <w:ind w:left="0" w:right="0" w:firstLine="468" w:firstLineChars="200"/>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①钢筋</w:t>
      </w:r>
    </w:p>
    <w:p w14:paraId="2C421259">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钢筋品种、级别、规格、数量；钢筋的品种、级别</w:t>
      </w:r>
      <w:r>
        <w:rPr>
          <w:rFonts w:hint="eastAsia" w:ascii="宋体" w:hAnsi="宋体" w:eastAsia="宋体" w:cs="宋体"/>
          <w:spacing w:val="1"/>
          <w:sz w:val="24"/>
          <w:szCs w:val="24"/>
          <w:highlight w:val="none"/>
        </w:rPr>
        <w:t>或规格变更；钢筋加工、绑扎过程质量控制；钢筋连接方式和连接质量；受力钢筋位置和混凝土保护层厚度。加强</w:t>
      </w:r>
      <w:r>
        <w:rPr>
          <w:rFonts w:hint="eastAsia" w:ascii="宋体" w:hAnsi="宋体" w:eastAsia="宋体" w:cs="宋体"/>
          <w:sz w:val="24"/>
          <w:szCs w:val="24"/>
          <w:highlight w:val="none"/>
        </w:rPr>
        <w:t>悬挑梁、板，楼梯，后浇带等钢筋绑扎质量。</w:t>
      </w:r>
    </w:p>
    <w:p w14:paraId="6C03862A">
      <w:pPr>
        <w:keepNext w:val="0"/>
        <w:keepLines w:val="0"/>
        <w:pageBreakBefore w:val="0"/>
        <w:wordWrap/>
        <w:overflowPunct/>
        <w:topLinePunct w:val="0"/>
        <w:bidi w:val="0"/>
        <w:spacing w:line="360" w:lineRule="auto"/>
        <w:ind w:left="0" w:right="0" w:firstLine="476" w:firstLineChars="200"/>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②混凝土</w:t>
      </w:r>
    </w:p>
    <w:p w14:paraId="6686D201">
      <w:pPr>
        <w:keepNext w:val="0"/>
        <w:keepLines w:val="0"/>
        <w:pageBreakBefore w:val="0"/>
        <w:wordWrap/>
        <w:overflowPunct/>
        <w:topLinePunct w:val="0"/>
        <w:bidi w:val="0"/>
        <w:spacing w:line="360" w:lineRule="auto"/>
        <w:ind w:left="0" w:right="0" w:firstLine="468" w:firstLineChars="200"/>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混凝土试块留置数量（包含见证取样资料）、养护环境（包含同条件试块养护）、</w:t>
      </w:r>
      <w:r>
        <w:rPr>
          <w:rFonts w:hint="eastAsia" w:ascii="宋体" w:hAnsi="宋体" w:eastAsia="宋体" w:cs="宋体"/>
          <w:spacing w:val="4"/>
          <w:sz w:val="24"/>
          <w:szCs w:val="24"/>
          <w:highlight w:val="none"/>
        </w:rPr>
        <w:t xml:space="preserve"> </w:t>
      </w:r>
      <w:r>
        <w:rPr>
          <w:rFonts w:hint="eastAsia" w:ascii="宋体" w:hAnsi="宋体" w:eastAsia="宋体" w:cs="宋体"/>
          <w:spacing w:val="1"/>
          <w:sz w:val="24"/>
          <w:szCs w:val="24"/>
          <w:highlight w:val="none"/>
        </w:rPr>
        <w:t>标识等；混凝土浇筑过程质量控制及养护；混凝土结构的外观质量和尺寸偏差；住宅工程质量常见问题预防措施；施工过程违规行为。</w:t>
      </w:r>
    </w:p>
    <w:p w14:paraId="3BAA0CE6">
      <w:pPr>
        <w:keepNext w:val="0"/>
        <w:keepLines w:val="0"/>
        <w:pageBreakBefore w:val="0"/>
        <w:wordWrap/>
        <w:overflowPunct/>
        <w:topLinePunct w:val="0"/>
        <w:bidi w:val="0"/>
        <w:spacing w:line="360" w:lineRule="auto"/>
        <w:ind w:left="0" w:right="0" w:firstLine="472" w:firstLineChars="200"/>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③砌体</w:t>
      </w:r>
    </w:p>
    <w:p w14:paraId="6E0F964A">
      <w:pPr>
        <w:keepNext w:val="0"/>
        <w:keepLines w:val="0"/>
        <w:pageBreakBefore w:val="0"/>
        <w:wordWrap/>
        <w:overflowPunct/>
        <w:topLinePunct w:val="0"/>
        <w:bidi w:val="0"/>
        <w:spacing w:line="360" w:lineRule="auto"/>
        <w:ind w:left="0" w:right="0" w:firstLine="484" w:firstLineChars="200"/>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砌筑砂浆强度和试块留置；墙体砌筑方式；灰缝砂浆质量控制；后塞缝施工质量</w:t>
      </w:r>
      <w:r>
        <w:rPr>
          <w:rFonts w:hint="eastAsia" w:ascii="宋体" w:hAnsi="宋体" w:eastAsia="宋体" w:cs="宋体"/>
          <w:spacing w:val="12"/>
          <w:sz w:val="24"/>
          <w:szCs w:val="24"/>
          <w:highlight w:val="none"/>
        </w:rPr>
        <w:t xml:space="preserve"> </w:t>
      </w:r>
      <w:r>
        <w:rPr>
          <w:rFonts w:hint="eastAsia" w:ascii="宋体" w:hAnsi="宋体" w:eastAsia="宋体" w:cs="宋体"/>
          <w:spacing w:val="1"/>
          <w:sz w:val="24"/>
          <w:szCs w:val="24"/>
          <w:highlight w:val="none"/>
        </w:rPr>
        <w:t>控制；墙体抗裂措施（包含线盒、线槽、表、箱开槽、开洞等</w:t>
      </w:r>
      <w:r>
        <w:rPr>
          <w:rFonts w:hint="eastAsia" w:ascii="宋体" w:hAnsi="宋体" w:eastAsia="宋体" w:cs="宋体"/>
          <w:spacing w:val="9"/>
          <w:sz w:val="24"/>
          <w:szCs w:val="24"/>
          <w:highlight w:val="none"/>
        </w:rPr>
        <w:t>）；</w:t>
      </w:r>
      <w:r>
        <w:rPr>
          <w:rFonts w:hint="eastAsia" w:ascii="宋体" w:hAnsi="宋体" w:eastAsia="宋体" w:cs="宋体"/>
          <w:spacing w:val="1"/>
          <w:sz w:val="24"/>
          <w:szCs w:val="24"/>
          <w:highlight w:val="none"/>
        </w:rPr>
        <w:t>构造柱、圈梁和拉</w:t>
      </w:r>
      <w:r>
        <w:rPr>
          <w:rFonts w:hint="eastAsia" w:ascii="宋体" w:hAnsi="宋体" w:eastAsia="宋体" w:cs="宋体"/>
          <w:sz w:val="24"/>
          <w:szCs w:val="24"/>
          <w:highlight w:val="none"/>
        </w:rPr>
        <w:t xml:space="preserve">  结筋的设置等抗震构造措施情况。</w:t>
      </w:r>
    </w:p>
    <w:p w14:paraId="4B147E38">
      <w:pPr>
        <w:keepNext w:val="0"/>
        <w:keepLines w:val="0"/>
        <w:pageBreakBefore w:val="0"/>
        <w:wordWrap/>
        <w:overflowPunct/>
        <w:topLinePunct w:val="0"/>
        <w:bidi w:val="0"/>
        <w:spacing w:line="360" w:lineRule="auto"/>
        <w:ind w:left="0" w:right="0" w:firstLine="472" w:firstLineChars="200"/>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④保温</w:t>
      </w:r>
    </w:p>
    <w:p w14:paraId="210BE78E">
      <w:pPr>
        <w:keepNext w:val="0"/>
        <w:keepLines w:val="0"/>
        <w:pageBreakBefore w:val="0"/>
        <w:wordWrap/>
        <w:overflowPunct/>
        <w:topLinePunct w:val="0"/>
        <w:bidi w:val="0"/>
        <w:spacing w:line="360" w:lineRule="auto"/>
        <w:ind w:left="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保温材料品种、规格及施工工艺符合设计要求，质量证明文</w:t>
      </w:r>
      <w:r>
        <w:rPr>
          <w:rFonts w:hint="eastAsia" w:ascii="宋体" w:hAnsi="宋体" w:eastAsia="宋体" w:cs="宋体"/>
          <w:spacing w:val="-1"/>
          <w:sz w:val="24"/>
          <w:szCs w:val="24"/>
          <w:highlight w:val="none"/>
        </w:rPr>
        <w:t>件及进场复验报告；</w:t>
      </w:r>
      <w:r>
        <w:rPr>
          <w:rFonts w:hint="eastAsia" w:ascii="宋体" w:hAnsi="宋体" w:eastAsia="宋体" w:cs="宋体"/>
          <w:sz w:val="24"/>
          <w:szCs w:val="24"/>
          <w:highlight w:val="none"/>
        </w:rPr>
        <w:t xml:space="preserve"> </w:t>
      </w:r>
      <w:r>
        <w:rPr>
          <w:rFonts w:hint="eastAsia" w:ascii="宋体" w:hAnsi="宋体" w:eastAsia="宋体" w:cs="宋体"/>
          <w:spacing w:val="1"/>
          <w:sz w:val="24"/>
          <w:szCs w:val="24"/>
          <w:highlight w:val="none"/>
        </w:rPr>
        <w:t>保温材料的品种或规格变更。保温材料与基层及各构造</w:t>
      </w:r>
      <w:r>
        <w:rPr>
          <w:rFonts w:hint="eastAsia" w:ascii="宋体" w:hAnsi="宋体" w:eastAsia="宋体" w:cs="宋体"/>
          <w:sz w:val="24"/>
          <w:szCs w:val="24"/>
          <w:highlight w:val="none"/>
        </w:rPr>
        <w:t>层粘结或连接质量。</w:t>
      </w:r>
    </w:p>
    <w:p w14:paraId="277CB346">
      <w:pPr>
        <w:keepNext w:val="0"/>
        <w:keepLines w:val="0"/>
        <w:pageBreakBefore w:val="0"/>
        <w:wordWrap/>
        <w:overflowPunct/>
        <w:topLinePunct w:val="0"/>
        <w:bidi w:val="0"/>
        <w:spacing w:line="360" w:lineRule="auto"/>
        <w:ind w:left="0" w:right="0" w:firstLine="472" w:firstLineChars="200"/>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⑤防水</w:t>
      </w:r>
    </w:p>
    <w:p w14:paraId="24A363D0">
      <w:pPr>
        <w:keepNext w:val="0"/>
        <w:keepLines w:val="0"/>
        <w:pageBreakBefore w:val="0"/>
        <w:wordWrap/>
        <w:overflowPunct/>
        <w:topLinePunct w:val="0"/>
        <w:bidi w:val="0"/>
        <w:spacing w:line="360" w:lineRule="auto"/>
        <w:ind w:left="0" w:right="0" w:firstLine="484" w:firstLineChars="200"/>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防水材料品种、规格及施工工艺符合设计要求，出厂合格证、质量检验报</w:t>
      </w:r>
      <w:r>
        <w:rPr>
          <w:rFonts w:hint="eastAsia" w:ascii="宋体" w:hAnsi="宋体" w:eastAsia="宋体" w:cs="宋体"/>
          <w:sz w:val="24"/>
          <w:szCs w:val="24"/>
          <w:highlight w:val="none"/>
        </w:rPr>
        <w:t>告和进场检验报告；防水材料的品种或规格变更；防水现场施工质量。</w:t>
      </w:r>
    </w:p>
    <w:p w14:paraId="791BCCF0">
      <w:pPr>
        <w:keepNext w:val="0"/>
        <w:keepLines w:val="0"/>
        <w:pageBreakBefore w:val="0"/>
        <w:wordWrap/>
        <w:overflowPunct/>
        <w:topLinePunct w:val="0"/>
        <w:bidi w:val="0"/>
        <w:spacing w:line="360" w:lineRule="auto"/>
        <w:ind w:left="0" w:right="0" w:firstLine="484" w:firstLineChars="200"/>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⑥装配式建筑施工质量及节点控制</w:t>
      </w:r>
    </w:p>
    <w:p w14:paraId="4FC5C6BC">
      <w:pPr>
        <w:keepNext w:val="0"/>
        <w:keepLines w:val="0"/>
        <w:pageBreakBefore w:val="0"/>
        <w:wordWrap/>
        <w:overflowPunct/>
        <w:topLinePunct w:val="0"/>
        <w:bidi w:val="0"/>
        <w:spacing w:line="360" w:lineRule="auto"/>
        <w:ind w:left="0" w:right="0" w:firstLine="484" w:firstLineChars="200"/>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预制构件与预制构件、预制构件与主体结构之间的连接质量及是否存在裂缝等质</w:t>
      </w:r>
      <w:r>
        <w:rPr>
          <w:rFonts w:hint="eastAsia" w:ascii="宋体" w:hAnsi="宋体" w:eastAsia="宋体" w:cs="宋体"/>
          <w:sz w:val="24"/>
          <w:szCs w:val="24"/>
          <w:highlight w:val="none"/>
        </w:rPr>
        <w:t>量缺陷；外观质量和尺寸偏差。</w:t>
      </w:r>
    </w:p>
    <w:p w14:paraId="1C841CB8">
      <w:pPr>
        <w:keepNext w:val="0"/>
        <w:keepLines w:val="0"/>
        <w:pageBreakBefore w:val="0"/>
        <w:wordWrap/>
        <w:overflowPunct/>
        <w:topLinePunct w:val="0"/>
        <w:bidi w:val="0"/>
        <w:spacing w:line="360" w:lineRule="auto"/>
        <w:ind w:left="0" w:right="0" w:firstLine="476" w:firstLineChars="200"/>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（2）施工现场安全生产情况</w:t>
      </w:r>
    </w:p>
    <w:p w14:paraId="086378A2">
      <w:pPr>
        <w:keepNext w:val="0"/>
        <w:keepLines w:val="0"/>
        <w:pageBreakBefore w:val="0"/>
        <w:wordWrap/>
        <w:overflowPunct/>
        <w:topLinePunct w:val="0"/>
        <w:bidi w:val="0"/>
        <w:spacing w:line="360" w:lineRule="auto"/>
        <w:ind w:left="0" w:right="0" w:firstLine="484" w:firstLineChars="200"/>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1）工程各方参建主体依法履行安全生产职责、建立健全</w:t>
      </w:r>
      <w:r>
        <w:rPr>
          <w:rFonts w:hint="eastAsia" w:ascii="宋体" w:hAnsi="宋体" w:eastAsia="宋体" w:cs="宋体"/>
          <w:sz w:val="24"/>
          <w:szCs w:val="24"/>
          <w:highlight w:val="none"/>
        </w:rPr>
        <w:t>安全管理制度情况；</w:t>
      </w:r>
    </w:p>
    <w:p w14:paraId="098A27D4">
      <w:pPr>
        <w:keepNext w:val="0"/>
        <w:keepLines w:val="0"/>
        <w:pageBreakBefore w:val="0"/>
        <w:wordWrap/>
        <w:overflowPunct/>
        <w:topLinePunct w:val="0"/>
        <w:bidi w:val="0"/>
        <w:spacing w:line="360" w:lineRule="auto"/>
        <w:ind w:left="0" w:right="0" w:firstLine="472" w:firstLineChars="20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2）施工现场安全生产措施落实情况，重点检查土方开挖、基坑支护、模板支撑、 脚手架和起重机械拆装使用等危险性较大的分部分项工程专项方案编制、论证、验收和执行情况，临时用房、施工用电、高处作业和临边洞口安全防护情况，以及从业人员尤其是特殊工种持证上岗情况；</w:t>
      </w:r>
    </w:p>
    <w:p w14:paraId="665848C2">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3）施工现场安全隐患排查治理情况</w:t>
      </w:r>
      <w:r>
        <w:rPr>
          <w:rFonts w:hint="eastAsia" w:ascii="宋体" w:hAnsi="宋体" w:eastAsia="宋体" w:cs="宋体"/>
          <w:spacing w:val="-12"/>
          <w:sz w:val="24"/>
          <w:szCs w:val="24"/>
          <w:highlight w:val="none"/>
        </w:rPr>
        <w:t>；（</w:t>
      </w:r>
      <w:r>
        <w:rPr>
          <w:rFonts w:hint="eastAsia" w:ascii="宋体" w:hAnsi="宋体" w:eastAsia="宋体" w:cs="宋体"/>
          <w:spacing w:val="2"/>
          <w:sz w:val="24"/>
          <w:szCs w:val="24"/>
          <w:highlight w:val="none"/>
        </w:rPr>
        <w:t>双重预防体系）</w:t>
      </w:r>
    </w:p>
    <w:p w14:paraId="145A3020">
      <w:pPr>
        <w:keepNext w:val="0"/>
        <w:keepLines w:val="0"/>
        <w:pageBreakBefore w:val="0"/>
        <w:wordWrap/>
        <w:overflowPunct/>
        <w:topLinePunct w:val="0"/>
        <w:bidi w:val="0"/>
        <w:spacing w:line="360" w:lineRule="auto"/>
        <w:ind w:left="0" w:right="0" w:firstLine="472" w:firstLineChars="200"/>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4）工程参建各方主体应急管理情况，重点是应急预案的制订、应急资源保障</w:t>
      </w:r>
      <w:r>
        <w:rPr>
          <w:rFonts w:hint="eastAsia" w:ascii="宋体" w:hAnsi="宋体" w:eastAsia="宋体" w:cs="宋体"/>
          <w:spacing w:val="-3"/>
          <w:sz w:val="24"/>
          <w:szCs w:val="24"/>
          <w:highlight w:val="none"/>
        </w:rPr>
        <w:t>及应</w:t>
      </w:r>
      <w:r>
        <w:rPr>
          <w:rFonts w:hint="eastAsia" w:ascii="宋体" w:hAnsi="宋体" w:eastAsia="宋体" w:cs="宋体"/>
          <w:spacing w:val="-2"/>
          <w:sz w:val="24"/>
          <w:szCs w:val="24"/>
          <w:highlight w:val="none"/>
        </w:rPr>
        <w:t>急演练情况；</w:t>
      </w:r>
    </w:p>
    <w:p w14:paraId="07D9894F">
      <w:pPr>
        <w:keepNext w:val="0"/>
        <w:keepLines w:val="0"/>
        <w:pageBreakBefore w:val="0"/>
        <w:wordWrap/>
        <w:overflowPunct/>
        <w:topLinePunct w:val="0"/>
        <w:bidi w:val="0"/>
        <w:spacing w:line="360" w:lineRule="auto"/>
        <w:ind w:left="0" w:right="0" w:firstLine="472" w:firstLineChars="200"/>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5）施工现场消防安全措施落实情况，重点是用火、用电、使</w:t>
      </w:r>
      <w:r>
        <w:rPr>
          <w:rFonts w:hint="eastAsia" w:ascii="宋体" w:hAnsi="宋体" w:eastAsia="宋体" w:cs="宋体"/>
          <w:spacing w:val="-3"/>
          <w:sz w:val="24"/>
          <w:szCs w:val="24"/>
          <w:highlight w:val="none"/>
        </w:rPr>
        <w:t>用易燃易爆材料等各</w:t>
      </w:r>
      <w:r>
        <w:rPr>
          <w:rFonts w:hint="eastAsia" w:ascii="宋体" w:hAnsi="宋体" w:eastAsia="宋体" w:cs="宋体"/>
          <w:spacing w:val="2"/>
          <w:sz w:val="24"/>
          <w:szCs w:val="24"/>
          <w:highlight w:val="none"/>
        </w:rPr>
        <w:t>项消防安全管理制度和操作规程制定情况，消</w:t>
      </w:r>
      <w:r>
        <w:rPr>
          <w:rFonts w:hint="eastAsia" w:ascii="宋体" w:hAnsi="宋体" w:eastAsia="宋体" w:cs="宋体"/>
          <w:spacing w:val="1"/>
          <w:sz w:val="24"/>
          <w:szCs w:val="24"/>
          <w:highlight w:val="none"/>
        </w:rPr>
        <w:t>防通道、消防水源设置情况，消防设施和灭火器材配备情况，生活区出入口处是否设置明显标志。</w:t>
      </w:r>
    </w:p>
    <w:p w14:paraId="5F3B9910">
      <w:pPr>
        <w:keepNext w:val="0"/>
        <w:keepLines w:val="0"/>
        <w:pageBreakBefore w:val="0"/>
        <w:wordWrap/>
        <w:overflowPunct/>
        <w:topLinePunct w:val="0"/>
        <w:bidi w:val="0"/>
        <w:spacing w:line="360" w:lineRule="auto"/>
        <w:ind w:left="0" w:right="0" w:firstLine="476" w:firstLineChars="200"/>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（3）内业资料整理情况</w:t>
      </w:r>
    </w:p>
    <w:p w14:paraId="566972C1">
      <w:pPr>
        <w:keepNext w:val="0"/>
        <w:keepLines w:val="0"/>
        <w:pageBreakBefore w:val="0"/>
        <w:wordWrap/>
        <w:overflowPunct/>
        <w:topLinePunct w:val="0"/>
        <w:bidi w:val="0"/>
        <w:spacing w:line="360" w:lineRule="auto"/>
        <w:ind w:left="0" w:right="0" w:firstLine="484" w:firstLineChars="200"/>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施工许可证，施工组织设计和施工方案（重点检查施工组织设计、施工方案的落实情况及与现场施工的相符性</w:t>
      </w:r>
      <w:r>
        <w:rPr>
          <w:rFonts w:hint="eastAsia" w:ascii="宋体" w:hAnsi="宋体" w:eastAsia="宋体" w:cs="宋体"/>
          <w:spacing w:val="9"/>
          <w:sz w:val="24"/>
          <w:szCs w:val="24"/>
          <w:highlight w:val="none"/>
        </w:rPr>
        <w:t>），</w:t>
      </w:r>
      <w:r>
        <w:rPr>
          <w:rFonts w:hint="eastAsia" w:ascii="宋体" w:hAnsi="宋体" w:eastAsia="宋体" w:cs="宋体"/>
          <w:spacing w:val="1"/>
          <w:sz w:val="24"/>
          <w:szCs w:val="24"/>
          <w:highlight w:val="none"/>
        </w:rPr>
        <w:t>主要施工机具报审表，进场材料、</w:t>
      </w:r>
      <w:r>
        <w:rPr>
          <w:rFonts w:hint="eastAsia" w:ascii="宋体" w:hAnsi="宋体" w:eastAsia="宋体" w:cs="宋体"/>
          <w:sz w:val="24"/>
          <w:szCs w:val="24"/>
          <w:highlight w:val="none"/>
        </w:rPr>
        <w:t>构配件、设备报</w:t>
      </w:r>
      <w:r>
        <w:rPr>
          <w:rFonts w:hint="eastAsia" w:ascii="宋体" w:hAnsi="宋体" w:eastAsia="宋体" w:cs="宋体"/>
          <w:spacing w:val="1"/>
          <w:sz w:val="24"/>
          <w:szCs w:val="24"/>
          <w:highlight w:val="none"/>
        </w:rPr>
        <w:t>审，隐蔽工程验收资料，现场试验资料，检验批、分项、分部及单位工程验收资料，工程定位测量、放线记录、各工种班组的安全技术交底，地基、沟槽的验槽记录及砼施工记录等，钢筋、混凝土试块、砂浆试块、防水保温等重要材料的见证取样资料。</w:t>
      </w:r>
    </w:p>
    <w:p w14:paraId="77C69834">
      <w:pPr>
        <w:keepNext w:val="0"/>
        <w:keepLines w:val="0"/>
        <w:pageBreakBefore w:val="0"/>
        <w:wordWrap/>
        <w:overflowPunct/>
        <w:topLinePunct w:val="0"/>
        <w:bidi w:val="0"/>
        <w:spacing w:line="360" w:lineRule="auto"/>
        <w:ind w:left="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（4）受检工程质量安全行为情况</w:t>
      </w:r>
    </w:p>
    <w:p w14:paraId="7DE8B4FD">
      <w:pPr>
        <w:keepNext w:val="0"/>
        <w:keepLines w:val="0"/>
        <w:pageBreakBefore w:val="0"/>
        <w:wordWrap/>
        <w:overflowPunct/>
        <w:topLinePunct w:val="0"/>
        <w:bidi w:val="0"/>
        <w:spacing w:line="360" w:lineRule="auto"/>
        <w:ind w:left="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1）总承包单位依法确定专业承包、劳务分包单位情况；</w:t>
      </w:r>
    </w:p>
    <w:p w14:paraId="745A0F2C">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2）现场项目管理机构的项目负责人、技术负责人、质量管理负责人、安全管理负责人（包括各专业分包单位现场负责人）、见证取样人等到场履职情况及授权文件；</w:t>
      </w:r>
    </w:p>
    <w:p w14:paraId="7AF3C1D7">
      <w:pPr>
        <w:keepNext w:val="0"/>
        <w:keepLines w:val="0"/>
        <w:pageBreakBefore w:val="0"/>
        <w:wordWrap/>
        <w:overflowPunct/>
        <w:topLinePunct w:val="0"/>
        <w:bidi w:val="0"/>
        <w:spacing w:line="360" w:lineRule="auto"/>
        <w:ind w:left="0" w:right="0" w:firstLine="484" w:firstLineChars="200"/>
        <w:rPr>
          <w:rFonts w:hint="eastAsia" w:ascii="宋体" w:hAnsi="宋体" w:eastAsia="宋体" w:cs="宋体"/>
          <w:spacing w:val="1"/>
          <w:sz w:val="24"/>
          <w:szCs w:val="24"/>
          <w:highlight w:val="none"/>
        </w:rPr>
      </w:pPr>
      <w:r>
        <w:rPr>
          <w:rFonts w:hint="eastAsia" w:ascii="宋体" w:hAnsi="宋体" w:eastAsia="宋体" w:cs="宋体"/>
          <w:spacing w:val="1"/>
          <w:sz w:val="24"/>
          <w:szCs w:val="24"/>
          <w:highlight w:val="none"/>
        </w:rPr>
        <w:t>3）监理单位按照相关法律法规和强制性标准实施质量、安全监理情况；</w:t>
      </w:r>
    </w:p>
    <w:p w14:paraId="56CAA818">
      <w:pPr>
        <w:keepNext w:val="0"/>
        <w:keepLines w:val="0"/>
        <w:pageBreakBefore w:val="0"/>
        <w:wordWrap/>
        <w:overflowPunct/>
        <w:topLinePunct w:val="0"/>
        <w:bidi w:val="0"/>
        <w:spacing w:line="360" w:lineRule="auto"/>
        <w:ind w:left="0" w:right="0" w:firstLine="484" w:firstLineChars="200"/>
        <w:rPr>
          <w:rFonts w:hint="eastAsia" w:ascii="宋体" w:hAnsi="宋体" w:eastAsia="宋体" w:cs="宋体"/>
          <w:spacing w:val="1"/>
          <w:sz w:val="24"/>
          <w:szCs w:val="24"/>
          <w:highlight w:val="none"/>
        </w:rPr>
      </w:pPr>
      <w:r>
        <w:rPr>
          <w:rFonts w:hint="eastAsia" w:ascii="宋体" w:hAnsi="宋体" w:eastAsia="宋体" w:cs="宋体"/>
          <w:spacing w:val="1"/>
          <w:sz w:val="24"/>
          <w:szCs w:val="24"/>
          <w:highlight w:val="none"/>
        </w:rPr>
        <w:t xml:space="preserve">4）安全文明施工措施费按规定拨付及使用情况。 </w:t>
      </w:r>
    </w:p>
    <w:p w14:paraId="65D86EE5">
      <w:pPr>
        <w:keepNext w:val="0"/>
        <w:keepLines w:val="0"/>
        <w:pageBreakBefore w:val="0"/>
        <w:wordWrap/>
        <w:overflowPunct/>
        <w:topLinePunct w:val="0"/>
        <w:bidi w:val="0"/>
        <w:spacing w:line="360" w:lineRule="auto"/>
        <w:ind w:left="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2.起重机械安全检查内容如下：</w:t>
      </w:r>
    </w:p>
    <w:p w14:paraId="71221877">
      <w:pPr>
        <w:keepNext w:val="0"/>
        <w:keepLines w:val="0"/>
        <w:pageBreakBefore w:val="0"/>
        <w:wordWrap/>
        <w:overflowPunct/>
        <w:topLinePunct w:val="0"/>
        <w:bidi w:val="0"/>
        <w:spacing w:line="360" w:lineRule="auto"/>
        <w:ind w:left="0" w:right="0" w:firstLine="484" w:firstLineChars="200"/>
        <w:rPr>
          <w:rFonts w:hint="eastAsia" w:ascii="宋体" w:hAnsi="宋体" w:eastAsia="宋体" w:cs="宋体"/>
          <w:spacing w:val="1"/>
          <w:sz w:val="24"/>
          <w:szCs w:val="24"/>
          <w:highlight w:val="none"/>
        </w:rPr>
      </w:pPr>
      <w:r>
        <w:rPr>
          <w:rFonts w:hint="eastAsia" w:ascii="宋体" w:hAnsi="宋体" w:eastAsia="宋体" w:cs="宋体"/>
          <w:spacing w:val="1"/>
          <w:sz w:val="24"/>
          <w:szCs w:val="24"/>
          <w:highlight w:val="none"/>
        </w:rPr>
        <w:t>（1）起重机械设备产权备案情况（含塔机、升降机、物料提升机）；</w:t>
      </w:r>
    </w:p>
    <w:p w14:paraId="409AD920">
      <w:pPr>
        <w:keepNext w:val="0"/>
        <w:keepLines w:val="0"/>
        <w:pageBreakBefore w:val="0"/>
        <w:wordWrap/>
        <w:overflowPunct/>
        <w:topLinePunct w:val="0"/>
        <w:bidi w:val="0"/>
        <w:spacing w:line="360" w:lineRule="auto"/>
        <w:ind w:left="0" w:right="0" w:firstLine="484" w:firstLineChars="200"/>
        <w:rPr>
          <w:rFonts w:hint="eastAsia" w:ascii="宋体" w:hAnsi="宋体" w:eastAsia="宋体" w:cs="宋体"/>
          <w:spacing w:val="1"/>
          <w:sz w:val="24"/>
          <w:szCs w:val="24"/>
          <w:highlight w:val="none"/>
        </w:rPr>
      </w:pPr>
      <w:r>
        <w:rPr>
          <w:rFonts w:hint="eastAsia" w:ascii="宋体" w:hAnsi="宋体" w:eastAsia="宋体" w:cs="宋体"/>
          <w:spacing w:val="1"/>
          <w:sz w:val="24"/>
          <w:szCs w:val="24"/>
          <w:highlight w:val="none"/>
        </w:rPr>
        <w:t>（2）起重机械设备安装告知（含安拆合同及安全协议、企业资质、人员资格、安拆方案、安全技术交底、基础验收等内容）及安装备案情况；</w:t>
      </w:r>
    </w:p>
    <w:p w14:paraId="0BE86126">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（3）起重机械设备月检、维修保养记录；</w:t>
      </w:r>
    </w:p>
    <w:p w14:paraId="326D5109">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（4）起重机械设备顶升加节过后的验收记录；</w:t>
      </w:r>
    </w:p>
    <w:p w14:paraId="13FA3083">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（5）起重机械设备标准节、附墙装置是否未原厂；</w:t>
      </w:r>
    </w:p>
    <w:p w14:paraId="14BE6FEE">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（6）安全专项施工方案变更符合相关程序；</w:t>
      </w:r>
    </w:p>
    <w:p w14:paraId="419EBFCB">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（7）多塔作业防碰撞、外电高压线防护的专项施工方案并通过审批；</w:t>
      </w:r>
    </w:p>
    <w:p w14:paraId="2F155053">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（8）起重机械使用情况。</w:t>
      </w:r>
    </w:p>
    <w:p w14:paraId="41243124">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（9）检测单位出具检测报告真实性情况。</w:t>
      </w:r>
    </w:p>
    <w:p w14:paraId="0DA51E6D">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lang w:val="en-US" w:eastAsia="zh-CN"/>
        </w:rPr>
        <w:t>3</w:t>
      </w:r>
      <w:r>
        <w:rPr>
          <w:rFonts w:hint="eastAsia" w:ascii="宋体" w:hAnsi="宋体" w:eastAsia="宋体" w:cs="宋体"/>
          <w:spacing w:val="2"/>
          <w:sz w:val="24"/>
          <w:szCs w:val="24"/>
          <w:highlight w:val="none"/>
        </w:rPr>
        <w:t>.</w:t>
      </w:r>
      <w:r>
        <w:rPr>
          <w:rFonts w:hint="eastAsia" w:ascii="宋体" w:hAnsi="宋体" w:eastAsia="宋体" w:cs="宋体"/>
          <w:spacing w:val="2"/>
          <w:sz w:val="24"/>
          <w:szCs w:val="24"/>
          <w:highlight w:val="none"/>
          <w:lang w:val="en-US" w:eastAsia="zh-CN"/>
        </w:rPr>
        <w:t>安全生产许可证</w:t>
      </w:r>
      <w:r>
        <w:rPr>
          <w:rFonts w:hint="eastAsia" w:ascii="宋体" w:hAnsi="宋体" w:eastAsia="宋体" w:cs="宋体"/>
          <w:spacing w:val="2"/>
          <w:sz w:val="24"/>
          <w:szCs w:val="24"/>
          <w:highlight w:val="none"/>
        </w:rPr>
        <w:t>检查内容如下：</w:t>
      </w:r>
    </w:p>
    <w:p w14:paraId="4B17F758">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lang w:eastAsia="zh-CN"/>
        </w:rPr>
        <w:t>（</w:t>
      </w:r>
      <w:r>
        <w:rPr>
          <w:rFonts w:hint="eastAsia" w:ascii="宋体" w:hAnsi="宋体" w:eastAsia="宋体" w:cs="宋体"/>
          <w:spacing w:val="2"/>
          <w:sz w:val="24"/>
          <w:szCs w:val="24"/>
          <w:highlight w:val="none"/>
          <w:lang w:val="en-US" w:eastAsia="zh-CN"/>
        </w:rPr>
        <w:t>1</w:t>
      </w:r>
      <w:r>
        <w:rPr>
          <w:rFonts w:hint="eastAsia" w:ascii="宋体" w:hAnsi="宋体" w:eastAsia="宋体" w:cs="宋体"/>
          <w:spacing w:val="2"/>
          <w:sz w:val="24"/>
          <w:szCs w:val="24"/>
          <w:highlight w:val="none"/>
          <w:lang w:eastAsia="zh-CN"/>
        </w:rPr>
        <w:t>）</w:t>
      </w:r>
      <w:r>
        <w:rPr>
          <w:rFonts w:hint="eastAsia" w:ascii="宋体" w:hAnsi="宋体" w:eastAsia="宋体" w:cs="宋体"/>
          <w:spacing w:val="2"/>
          <w:sz w:val="24"/>
          <w:szCs w:val="24"/>
          <w:highlight w:val="none"/>
        </w:rPr>
        <w:t>安全生产制度管理情况；</w:t>
      </w:r>
    </w:p>
    <w:p w14:paraId="32BA71D3">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lang w:eastAsia="zh-CN"/>
        </w:rPr>
        <w:t>（</w:t>
      </w:r>
      <w:r>
        <w:rPr>
          <w:rFonts w:hint="eastAsia" w:ascii="宋体" w:hAnsi="宋体" w:eastAsia="宋体" w:cs="宋体"/>
          <w:spacing w:val="2"/>
          <w:sz w:val="24"/>
          <w:szCs w:val="24"/>
          <w:highlight w:val="none"/>
          <w:lang w:val="en-US" w:eastAsia="zh-CN"/>
        </w:rPr>
        <w:t>2</w:t>
      </w:r>
      <w:r>
        <w:rPr>
          <w:rFonts w:hint="eastAsia" w:ascii="宋体" w:hAnsi="宋体" w:eastAsia="宋体" w:cs="宋体"/>
          <w:spacing w:val="2"/>
          <w:sz w:val="24"/>
          <w:szCs w:val="24"/>
          <w:highlight w:val="none"/>
          <w:lang w:eastAsia="zh-CN"/>
        </w:rPr>
        <w:t>）</w:t>
      </w:r>
      <w:r>
        <w:rPr>
          <w:rFonts w:hint="eastAsia" w:ascii="宋体" w:hAnsi="宋体" w:eastAsia="宋体" w:cs="宋体"/>
          <w:spacing w:val="2"/>
          <w:sz w:val="24"/>
          <w:szCs w:val="24"/>
          <w:highlight w:val="none"/>
          <w:lang w:val="en-US" w:eastAsia="zh-CN"/>
        </w:rPr>
        <w:t>安全生产投入</w:t>
      </w:r>
      <w:r>
        <w:rPr>
          <w:rFonts w:hint="eastAsia" w:ascii="宋体" w:hAnsi="宋体" w:eastAsia="宋体" w:cs="宋体"/>
          <w:spacing w:val="2"/>
          <w:sz w:val="24"/>
          <w:szCs w:val="24"/>
          <w:highlight w:val="none"/>
        </w:rPr>
        <w:t>情况；</w:t>
      </w:r>
    </w:p>
    <w:p w14:paraId="2E87E1D2">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lang w:val="en-US" w:eastAsia="zh-CN"/>
        </w:rPr>
      </w:pPr>
      <w:r>
        <w:rPr>
          <w:rFonts w:hint="eastAsia" w:ascii="宋体" w:hAnsi="宋体" w:eastAsia="宋体" w:cs="宋体"/>
          <w:spacing w:val="2"/>
          <w:sz w:val="24"/>
          <w:szCs w:val="24"/>
          <w:highlight w:val="none"/>
          <w:lang w:eastAsia="zh-CN"/>
        </w:rPr>
        <w:t>（</w:t>
      </w:r>
      <w:r>
        <w:rPr>
          <w:rFonts w:hint="eastAsia" w:ascii="宋体" w:hAnsi="宋体" w:eastAsia="宋体" w:cs="宋体"/>
          <w:spacing w:val="2"/>
          <w:sz w:val="24"/>
          <w:szCs w:val="24"/>
          <w:highlight w:val="none"/>
          <w:lang w:val="en-US" w:eastAsia="zh-CN"/>
        </w:rPr>
        <w:t>3</w:t>
      </w:r>
      <w:r>
        <w:rPr>
          <w:rFonts w:hint="eastAsia" w:ascii="宋体" w:hAnsi="宋体" w:eastAsia="宋体" w:cs="宋体"/>
          <w:spacing w:val="2"/>
          <w:sz w:val="24"/>
          <w:szCs w:val="24"/>
          <w:highlight w:val="none"/>
          <w:lang w:eastAsia="zh-CN"/>
        </w:rPr>
        <w:t>）</w:t>
      </w:r>
      <w:r>
        <w:rPr>
          <w:rFonts w:hint="eastAsia" w:ascii="宋体" w:hAnsi="宋体" w:eastAsia="宋体" w:cs="宋体"/>
          <w:spacing w:val="2"/>
          <w:sz w:val="24"/>
          <w:szCs w:val="24"/>
          <w:highlight w:val="none"/>
          <w:lang w:val="en-US" w:eastAsia="zh-CN"/>
        </w:rPr>
        <w:t>安全生产管理机构</w:t>
      </w:r>
      <w:r>
        <w:rPr>
          <w:rFonts w:hint="eastAsia" w:ascii="宋体" w:hAnsi="宋体" w:eastAsia="宋体" w:cs="宋体"/>
          <w:spacing w:val="2"/>
          <w:sz w:val="24"/>
          <w:szCs w:val="24"/>
          <w:highlight w:val="none"/>
        </w:rPr>
        <w:t>情况；</w:t>
      </w:r>
    </w:p>
    <w:p w14:paraId="08AD3A5A">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lang w:val="en-US" w:eastAsia="zh-CN"/>
        </w:rPr>
      </w:pPr>
      <w:r>
        <w:rPr>
          <w:rFonts w:hint="eastAsia" w:ascii="宋体" w:hAnsi="宋体" w:eastAsia="宋体" w:cs="宋体"/>
          <w:spacing w:val="2"/>
          <w:sz w:val="24"/>
          <w:szCs w:val="24"/>
          <w:highlight w:val="none"/>
          <w:lang w:eastAsia="zh-CN"/>
        </w:rPr>
        <w:t>（</w:t>
      </w:r>
      <w:r>
        <w:rPr>
          <w:rFonts w:hint="eastAsia" w:ascii="宋体" w:hAnsi="宋体" w:eastAsia="宋体" w:cs="宋体"/>
          <w:spacing w:val="2"/>
          <w:sz w:val="24"/>
          <w:szCs w:val="24"/>
          <w:highlight w:val="none"/>
          <w:lang w:val="en-US" w:eastAsia="zh-CN"/>
        </w:rPr>
        <w:t>4</w:t>
      </w:r>
      <w:r>
        <w:rPr>
          <w:rFonts w:hint="eastAsia" w:ascii="宋体" w:hAnsi="宋体" w:eastAsia="宋体" w:cs="宋体"/>
          <w:spacing w:val="2"/>
          <w:sz w:val="24"/>
          <w:szCs w:val="24"/>
          <w:highlight w:val="none"/>
          <w:lang w:eastAsia="zh-CN"/>
        </w:rPr>
        <w:t>）</w:t>
      </w:r>
      <w:r>
        <w:rPr>
          <w:rFonts w:hint="eastAsia" w:ascii="宋体" w:hAnsi="宋体" w:eastAsia="宋体" w:cs="宋体"/>
          <w:spacing w:val="2"/>
          <w:sz w:val="24"/>
          <w:szCs w:val="24"/>
          <w:highlight w:val="none"/>
          <w:lang w:val="en-US" w:eastAsia="zh-CN"/>
        </w:rPr>
        <w:t>三类人员安全生产考核</w:t>
      </w:r>
      <w:r>
        <w:rPr>
          <w:rFonts w:hint="eastAsia" w:ascii="宋体" w:hAnsi="宋体" w:eastAsia="宋体" w:cs="宋体"/>
          <w:spacing w:val="2"/>
          <w:sz w:val="24"/>
          <w:szCs w:val="24"/>
          <w:highlight w:val="none"/>
        </w:rPr>
        <w:t>情况；</w:t>
      </w:r>
    </w:p>
    <w:p w14:paraId="0510A1F2">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lang w:eastAsia="zh-CN"/>
        </w:rPr>
        <w:t>（</w:t>
      </w:r>
      <w:r>
        <w:rPr>
          <w:rFonts w:hint="eastAsia" w:ascii="宋体" w:hAnsi="宋体" w:eastAsia="宋体" w:cs="宋体"/>
          <w:spacing w:val="2"/>
          <w:sz w:val="24"/>
          <w:szCs w:val="24"/>
          <w:highlight w:val="none"/>
          <w:lang w:val="en-US" w:eastAsia="zh-CN"/>
        </w:rPr>
        <w:t>5</w:t>
      </w:r>
      <w:r>
        <w:rPr>
          <w:rFonts w:hint="eastAsia" w:ascii="宋体" w:hAnsi="宋体" w:eastAsia="宋体" w:cs="宋体"/>
          <w:spacing w:val="2"/>
          <w:sz w:val="24"/>
          <w:szCs w:val="24"/>
          <w:highlight w:val="none"/>
          <w:lang w:eastAsia="zh-CN"/>
        </w:rPr>
        <w:t>）</w:t>
      </w:r>
      <w:r>
        <w:rPr>
          <w:rFonts w:hint="eastAsia" w:ascii="宋体" w:hAnsi="宋体" w:eastAsia="宋体" w:cs="宋体"/>
          <w:spacing w:val="2"/>
          <w:sz w:val="24"/>
          <w:szCs w:val="24"/>
          <w:highlight w:val="none"/>
          <w:lang w:val="en-US" w:eastAsia="zh-CN"/>
        </w:rPr>
        <w:t>特种作业人员配备</w:t>
      </w:r>
      <w:r>
        <w:rPr>
          <w:rFonts w:hint="eastAsia" w:ascii="宋体" w:hAnsi="宋体" w:eastAsia="宋体" w:cs="宋体"/>
          <w:spacing w:val="2"/>
          <w:sz w:val="24"/>
          <w:szCs w:val="24"/>
          <w:highlight w:val="none"/>
        </w:rPr>
        <w:t>情况；</w:t>
      </w:r>
    </w:p>
    <w:p w14:paraId="00E81F41">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lang w:eastAsia="zh-CN"/>
        </w:rPr>
        <w:t>（</w:t>
      </w:r>
      <w:r>
        <w:rPr>
          <w:rFonts w:hint="eastAsia" w:ascii="宋体" w:hAnsi="宋体" w:eastAsia="宋体" w:cs="宋体"/>
          <w:spacing w:val="2"/>
          <w:sz w:val="24"/>
          <w:szCs w:val="24"/>
          <w:highlight w:val="none"/>
          <w:lang w:val="en-US" w:eastAsia="zh-CN"/>
        </w:rPr>
        <w:t>6</w:t>
      </w:r>
      <w:r>
        <w:rPr>
          <w:rFonts w:hint="eastAsia" w:ascii="宋体" w:hAnsi="宋体" w:eastAsia="宋体" w:cs="宋体"/>
          <w:spacing w:val="2"/>
          <w:sz w:val="24"/>
          <w:szCs w:val="24"/>
          <w:highlight w:val="none"/>
          <w:lang w:eastAsia="zh-CN"/>
        </w:rPr>
        <w:t>）</w:t>
      </w:r>
      <w:r>
        <w:rPr>
          <w:rFonts w:hint="eastAsia" w:ascii="宋体" w:hAnsi="宋体" w:eastAsia="宋体" w:cs="宋体"/>
          <w:spacing w:val="2"/>
          <w:sz w:val="24"/>
          <w:szCs w:val="24"/>
          <w:highlight w:val="none"/>
          <w:lang w:val="en-US" w:eastAsia="zh-CN"/>
        </w:rPr>
        <w:t>工伤保险及安全责任险</w:t>
      </w:r>
      <w:r>
        <w:rPr>
          <w:rFonts w:hint="eastAsia" w:ascii="宋体" w:hAnsi="宋体" w:eastAsia="宋体" w:cs="宋体"/>
          <w:spacing w:val="2"/>
          <w:sz w:val="24"/>
          <w:szCs w:val="24"/>
          <w:highlight w:val="none"/>
        </w:rPr>
        <w:t>情况；</w:t>
      </w:r>
    </w:p>
    <w:p w14:paraId="7E29CA2E">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lang w:eastAsia="zh-CN"/>
        </w:rPr>
        <w:t>（</w:t>
      </w:r>
      <w:r>
        <w:rPr>
          <w:rFonts w:hint="eastAsia" w:ascii="宋体" w:hAnsi="宋体" w:eastAsia="宋体" w:cs="宋体"/>
          <w:spacing w:val="2"/>
          <w:sz w:val="24"/>
          <w:szCs w:val="24"/>
          <w:highlight w:val="none"/>
          <w:lang w:val="en-US" w:eastAsia="zh-CN"/>
        </w:rPr>
        <w:t>7</w:t>
      </w:r>
      <w:r>
        <w:rPr>
          <w:rFonts w:hint="eastAsia" w:ascii="宋体" w:hAnsi="宋体" w:eastAsia="宋体" w:cs="宋体"/>
          <w:spacing w:val="2"/>
          <w:sz w:val="24"/>
          <w:szCs w:val="24"/>
          <w:highlight w:val="none"/>
          <w:lang w:eastAsia="zh-CN"/>
        </w:rPr>
        <w:t>）</w:t>
      </w:r>
      <w:r>
        <w:rPr>
          <w:rFonts w:hint="eastAsia" w:ascii="宋体" w:hAnsi="宋体" w:eastAsia="宋体" w:cs="宋体"/>
          <w:spacing w:val="2"/>
          <w:sz w:val="24"/>
          <w:szCs w:val="24"/>
          <w:highlight w:val="none"/>
          <w:lang w:val="en-US" w:eastAsia="zh-CN"/>
        </w:rPr>
        <w:t>危险性较大分部分项工程管理</w:t>
      </w:r>
      <w:r>
        <w:rPr>
          <w:rFonts w:hint="eastAsia" w:ascii="宋体" w:hAnsi="宋体" w:eastAsia="宋体" w:cs="宋体"/>
          <w:spacing w:val="2"/>
          <w:sz w:val="24"/>
          <w:szCs w:val="24"/>
          <w:highlight w:val="none"/>
        </w:rPr>
        <w:t>情况；</w:t>
      </w:r>
    </w:p>
    <w:p w14:paraId="0C8D308E">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lang w:eastAsia="zh-CN"/>
        </w:rPr>
      </w:pPr>
      <w:r>
        <w:rPr>
          <w:rFonts w:hint="eastAsia" w:ascii="宋体" w:hAnsi="宋体" w:eastAsia="宋体" w:cs="宋体"/>
          <w:spacing w:val="2"/>
          <w:sz w:val="24"/>
          <w:szCs w:val="24"/>
          <w:highlight w:val="none"/>
          <w:lang w:eastAsia="zh-CN"/>
        </w:rPr>
        <w:t>（</w:t>
      </w:r>
      <w:r>
        <w:rPr>
          <w:rFonts w:hint="eastAsia" w:ascii="宋体" w:hAnsi="宋体" w:eastAsia="宋体" w:cs="宋体"/>
          <w:spacing w:val="2"/>
          <w:sz w:val="24"/>
          <w:szCs w:val="24"/>
          <w:highlight w:val="none"/>
          <w:lang w:val="en-US" w:eastAsia="zh-CN"/>
        </w:rPr>
        <w:t>8</w:t>
      </w:r>
      <w:r>
        <w:rPr>
          <w:rFonts w:hint="eastAsia" w:ascii="宋体" w:hAnsi="宋体" w:eastAsia="宋体" w:cs="宋体"/>
          <w:spacing w:val="2"/>
          <w:sz w:val="24"/>
          <w:szCs w:val="24"/>
          <w:highlight w:val="none"/>
          <w:lang w:eastAsia="zh-CN"/>
        </w:rPr>
        <w:t>）</w:t>
      </w:r>
      <w:r>
        <w:rPr>
          <w:rFonts w:hint="eastAsia" w:ascii="宋体" w:hAnsi="宋体" w:eastAsia="宋体" w:cs="宋体"/>
          <w:spacing w:val="2"/>
          <w:sz w:val="24"/>
          <w:szCs w:val="24"/>
          <w:highlight w:val="none"/>
          <w:lang w:val="en-US" w:eastAsia="zh-CN"/>
        </w:rPr>
        <w:t>生产安全事故应急救援管理</w:t>
      </w:r>
      <w:r>
        <w:rPr>
          <w:rFonts w:hint="eastAsia" w:ascii="宋体" w:hAnsi="宋体" w:eastAsia="宋体" w:cs="宋体"/>
          <w:spacing w:val="2"/>
          <w:sz w:val="24"/>
          <w:szCs w:val="24"/>
          <w:highlight w:val="none"/>
        </w:rPr>
        <w:t>情况</w:t>
      </w:r>
      <w:r>
        <w:rPr>
          <w:rFonts w:hint="eastAsia" w:ascii="宋体" w:hAnsi="宋体" w:eastAsia="宋体" w:cs="宋体"/>
          <w:spacing w:val="2"/>
          <w:sz w:val="24"/>
          <w:szCs w:val="24"/>
          <w:highlight w:val="none"/>
          <w:lang w:eastAsia="zh-CN"/>
        </w:rPr>
        <w:t>。</w:t>
      </w:r>
    </w:p>
    <w:p w14:paraId="6F4687DA">
      <w:pPr>
        <w:keepNext w:val="0"/>
        <w:keepLines w:val="0"/>
        <w:pageBreakBefore w:val="0"/>
        <w:wordWrap/>
        <w:overflowPunct/>
        <w:topLinePunct w:val="0"/>
        <w:bidi w:val="0"/>
        <w:spacing w:line="360" w:lineRule="auto"/>
        <w:ind w:left="0" w:right="0" w:firstLine="484" w:firstLineChars="200"/>
        <w:rPr>
          <w:rFonts w:hint="eastAsia" w:ascii="宋体" w:hAnsi="宋体" w:eastAsia="宋体" w:cs="宋体"/>
          <w:sz w:val="24"/>
          <w:szCs w:val="24"/>
          <w:highlight w:val="none"/>
        </w:rPr>
      </w:pPr>
      <w:r>
        <w:rPr>
          <w:rFonts w:hint="eastAsia" w:ascii="宋体" w:hAnsi="宋体" w:eastAsia="宋体" w:cs="宋体"/>
          <w:b/>
          <w:bCs/>
          <w:spacing w:val="1"/>
          <w:sz w:val="24"/>
          <w:szCs w:val="24"/>
          <w:highlight w:val="none"/>
        </w:rPr>
        <w:t>扬尘治理情况</w:t>
      </w:r>
      <w:r>
        <w:rPr>
          <w:rFonts w:hint="eastAsia" w:ascii="宋体" w:hAnsi="宋体" w:eastAsia="宋体" w:cs="宋体"/>
          <w:spacing w:val="1"/>
          <w:sz w:val="24"/>
          <w:szCs w:val="24"/>
          <w:highlight w:val="none"/>
        </w:rPr>
        <w:t>：主要检查建筑工地扬尘治理七</w:t>
      </w:r>
      <w:r>
        <w:rPr>
          <w:rFonts w:hint="eastAsia" w:ascii="宋体" w:hAnsi="宋体" w:eastAsia="宋体" w:cs="宋体"/>
          <w:sz w:val="24"/>
          <w:szCs w:val="24"/>
          <w:highlight w:val="none"/>
        </w:rPr>
        <w:t>个百分之百落实情况。重点</w:t>
      </w:r>
      <w:r>
        <w:rPr>
          <w:rFonts w:hint="eastAsia" w:ascii="宋体" w:hAnsi="宋体" w:eastAsia="宋体" w:cs="宋体"/>
          <w:spacing w:val="1"/>
          <w:sz w:val="24"/>
          <w:szCs w:val="24"/>
          <w:highlight w:val="none"/>
        </w:rPr>
        <w:t>是工地周边围挡设置是否符合标准，尤其是四区根据创城要求围挡要坚固、整洁、美观；浮土及产尘物料堆放覆盖情况，建筑垃圾应及时清运出场；场地道路硬化、积尘洒水保洁，出入工地车辆冲洗情况；扬尘在线监测和视频监控安装使用情况。</w:t>
      </w:r>
    </w:p>
    <w:p w14:paraId="2005C82D">
      <w:pPr>
        <w:keepNext w:val="0"/>
        <w:keepLines w:val="0"/>
        <w:pageBreakBefore w:val="0"/>
        <w:wordWrap/>
        <w:overflowPunct/>
        <w:topLinePunct w:val="0"/>
        <w:bidi w:val="0"/>
        <w:spacing w:line="360" w:lineRule="auto"/>
        <w:ind w:left="0" w:right="0" w:firstLine="476" w:firstLineChars="200"/>
        <w:rPr>
          <w:rFonts w:hint="eastAsia" w:ascii="宋体" w:hAnsi="宋体" w:eastAsia="宋体" w:cs="宋体"/>
          <w:sz w:val="24"/>
          <w:szCs w:val="24"/>
          <w:highlight w:val="none"/>
        </w:rPr>
      </w:pPr>
      <w:r>
        <w:rPr>
          <w:rFonts w:hint="eastAsia" w:ascii="宋体" w:hAnsi="宋体" w:eastAsia="宋体" w:cs="宋体"/>
          <w:b/>
          <w:bCs/>
          <w:spacing w:val="-1"/>
          <w:sz w:val="24"/>
          <w:szCs w:val="24"/>
          <w:highlight w:val="none"/>
          <w:lang w:eastAsia="zh-CN"/>
        </w:rPr>
        <w:t>（</w:t>
      </w:r>
      <w:r>
        <w:rPr>
          <w:rFonts w:hint="eastAsia" w:ascii="宋体" w:hAnsi="宋体" w:eastAsia="宋体" w:cs="宋体"/>
          <w:b/>
          <w:bCs/>
          <w:spacing w:val="-1"/>
          <w:sz w:val="24"/>
          <w:szCs w:val="24"/>
          <w:highlight w:val="none"/>
          <w:lang w:val="en-US" w:eastAsia="zh-CN"/>
        </w:rPr>
        <w:t>三</w:t>
      </w:r>
      <w:r>
        <w:rPr>
          <w:rFonts w:hint="eastAsia" w:ascii="宋体" w:hAnsi="宋体" w:eastAsia="宋体" w:cs="宋体"/>
          <w:b/>
          <w:bCs/>
          <w:spacing w:val="-1"/>
          <w:sz w:val="24"/>
          <w:szCs w:val="24"/>
          <w:highlight w:val="none"/>
          <w:lang w:eastAsia="zh-CN"/>
        </w:rPr>
        <w:t>）</w:t>
      </w:r>
      <w:r>
        <w:rPr>
          <w:rFonts w:hint="eastAsia" w:ascii="宋体" w:hAnsi="宋体" w:eastAsia="宋体" w:cs="宋体"/>
          <w:b/>
          <w:bCs/>
          <w:spacing w:val="-1"/>
          <w:sz w:val="24"/>
          <w:szCs w:val="24"/>
          <w:highlight w:val="none"/>
        </w:rPr>
        <w:t>.</w:t>
      </w:r>
      <w:r>
        <w:rPr>
          <w:rFonts w:hint="eastAsia" w:ascii="宋体" w:hAnsi="宋体" w:eastAsia="宋体" w:cs="宋体"/>
          <w:spacing w:val="66"/>
          <w:sz w:val="24"/>
          <w:szCs w:val="24"/>
          <w:highlight w:val="none"/>
        </w:rPr>
        <w:t xml:space="preserve"> </w:t>
      </w:r>
      <w:r>
        <w:rPr>
          <w:rFonts w:hint="eastAsia" w:ascii="宋体" w:hAnsi="宋体" w:eastAsia="宋体" w:cs="宋体"/>
          <w:b/>
          <w:bCs/>
          <w:spacing w:val="-1"/>
          <w:sz w:val="24"/>
          <w:szCs w:val="24"/>
          <w:highlight w:val="none"/>
        </w:rPr>
        <w:t>需满足的国家相关标准、行业标准、地方标准或者其他标准</w:t>
      </w:r>
      <w:r>
        <w:rPr>
          <w:rFonts w:hint="eastAsia" w:ascii="宋体" w:hAnsi="宋体" w:eastAsia="宋体" w:cs="宋体"/>
          <w:b/>
          <w:bCs/>
          <w:spacing w:val="-2"/>
          <w:sz w:val="24"/>
          <w:szCs w:val="24"/>
          <w:highlight w:val="none"/>
        </w:rPr>
        <w:t>、规范</w:t>
      </w:r>
    </w:p>
    <w:p w14:paraId="6DB2BEAE">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lang w:val="en-US" w:eastAsia="zh-CN"/>
        </w:rPr>
      </w:pPr>
      <w:r>
        <w:rPr>
          <w:rFonts w:hint="eastAsia" w:ascii="宋体" w:hAnsi="宋体" w:eastAsia="宋体" w:cs="宋体"/>
          <w:spacing w:val="2"/>
          <w:sz w:val="24"/>
          <w:szCs w:val="24"/>
          <w:highlight w:val="none"/>
          <w:lang w:val="en-US" w:eastAsia="zh-CN"/>
        </w:rPr>
        <w:t>1.《建设工程质量管理条例》</w:t>
      </w:r>
    </w:p>
    <w:p w14:paraId="51B72867">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lang w:val="en-US" w:eastAsia="zh-CN"/>
        </w:rPr>
      </w:pPr>
      <w:r>
        <w:rPr>
          <w:rFonts w:hint="eastAsia" w:ascii="宋体" w:hAnsi="宋体" w:eastAsia="宋体" w:cs="宋体"/>
          <w:spacing w:val="2"/>
          <w:sz w:val="24"/>
          <w:szCs w:val="24"/>
          <w:highlight w:val="none"/>
          <w:lang w:val="en-US" w:eastAsia="zh-CN"/>
        </w:rPr>
        <w:t>2.《建设工程安全生产管理条例》</w:t>
      </w:r>
    </w:p>
    <w:p w14:paraId="23D6A081">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lang w:val="en-US" w:eastAsia="zh-CN"/>
        </w:rPr>
      </w:pPr>
      <w:r>
        <w:rPr>
          <w:rFonts w:hint="eastAsia" w:ascii="宋体" w:hAnsi="宋体" w:eastAsia="宋体" w:cs="宋体"/>
          <w:spacing w:val="2"/>
          <w:sz w:val="24"/>
          <w:szCs w:val="24"/>
          <w:highlight w:val="none"/>
          <w:lang w:val="en-US" w:eastAsia="zh-CN"/>
        </w:rPr>
        <w:t>3.《危险性较大的分部分项工程安全管理规定》（中华人民共和国住房和城乡 建设部令第 37 号）</w:t>
      </w:r>
    </w:p>
    <w:p w14:paraId="4AA96369">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lang w:val="en-US" w:eastAsia="zh-CN"/>
        </w:rPr>
      </w:pPr>
      <w:r>
        <w:rPr>
          <w:rFonts w:hint="eastAsia" w:ascii="宋体" w:hAnsi="宋体" w:eastAsia="宋体" w:cs="宋体"/>
          <w:spacing w:val="2"/>
          <w:sz w:val="24"/>
          <w:szCs w:val="24"/>
          <w:highlight w:val="none"/>
          <w:lang w:val="en-US" w:eastAsia="zh-CN"/>
        </w:rPr>
        <w:t>4.住房和城乡建设部办公厅关于实施《危险性较大的分部分项安全管理规定》 有关问题的通知</w:t>
      </w:r>
    </w:p>
    <w:p w14:paraId="0C033B28">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lang w:val="en-US" w:eastAsia="zh-CN"/>
        </w:rPr>
      </w:pPr>
      <w:r>
        <w:rPr>
          <w:rFonts w:hint="eastAsia" w:ascii="宋体" w:hAnsi="宋体" w:eastAsia="宋体" w:cs="宋体"/>
          <w:spacing w:val="2"/>
          <w:sz w:val="24"/>
          <w:szCs w:val="24"/>
          <w:highlight w:val="none"/>
          <w:lang w:val="en-US" w:eastAsia="zh-CN"/>
        </w:rPr>
        <w:t>5.《混凝土结构工程施工质量验收规范》GB50204-2015</w:t>
      </w:r>
    </w:p>
    <w:p w14:paraId="5E2D5148">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lang w:val="en-US" w:eastAsia="zh-CN"/>
        </w:rPr>
      </w:pPr>
      <w:r>
        <w:rPr>
          <w:rFonts w:hint="eastAsia" w:ascii="宋体" w:hAnsi="宋体" w:eastAsia="宋体" w:cs="宋体"/>
          <w:spacing w:val="2"/>
          <w:sz w:val="24"/>
          <w:szCs w:val="24"/>
          <w:highlight w:val="none"/>
          <w:lang w:val="en-US" w:eastAsia="zh-CN"/>
        </w:rPr>
        <w:t>6.《混凝土质量控制标准》GB50164-2011</w:t>
      </w:r>
    </w:p>
    <w:p w14:paraId="5EC220A6">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lang w:val="en-US" w:eastAsia="zh-CN"/>
        </w:rPr>
      </w:pPr>
      <w:r>
        <w:rPr>
          <w:rFonts w:hint="eastAsia" w:ascii="宋体" w:hAnsi="宋体" w:eastAsia="宋体" w:cs="宋体"/>
          <w:spacing w:val="2"/>
          <w:sz w:val="24"/>
          <w:szCs w:val="24"/>
          <w:highlight w:val="none"/>
          <w:lang w:val="en-US" w:eastAsia="zh-CN"/>
        </w:rPr>
        <w:t>7.《建筑施工安全检查标准》JGJ59-2011</w:t>
      </w:r>
    </w:p>
    <w:p w14:paraId="7A0508A7">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lang w:val="en-US" w:eastAsia="zh-CN"/>
        </w:rPr>
      </w:pPr>
      <w:r>
        <w:rPr>
          <w:rFonts w:hint="eastAsia" w:ascii="宋体" w:hAnsi="宋体" w:eastAsia="宋体" w:cs="宋体"/>
          <w:spacing w:val="2"/>
          <w:sz w:val="24"/>
          <w:szCs w:val="24"/>
          <w:highlight w:val="none"/>
          <w:lang w:val="en-US" w:eastAsia="zh-CN"/>
        </w:rPr>
        <w:t xml:space="preserve">8.《砌体工程施工验收规范》GB50203-2011 </w:t>
      </w:r>
    </w:p>
    <w:p w14:paraId="1CBF61D4">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lang w:val="en-US" w:eastAsia="zh-CN"/>
        </w:rPr>
      </w:pPr>
      <w:r>
        <w:rPr>
          <w:rFonts w:hint="eastAsia" w:ascii="宋体" w:hAnsi="宋体" w:eastAsia="宋体" w:cs="宋体"/>
          <w:spacing w:val="2"/>
          <w:sz w:val="24"/>
          <w:szCs w:val="24"/>
          <w:highlight w:val="none"/>
          <w:lang w:val="en-US" w:eastAsia="zh-CN"/>
        </w:rPr>
        <w:t>9.《外墙外保温建筑构造》10J121</w:t>
      </w:r>
    </w:p>
    <w:p w14:paraId="12CD3272">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lang w:val="en-US" w:eastAsia="zh-CN"/>
        </w:rPr>
      </w:pPr>
      <w:r>
        <w:rPr>
          <w:rFonts w:hint="eastAsia" w:ascii="宋体" w:hAnsi="宋体" w:eastAsia="宋体" w:cs="宋体"/>
          <w:spacing w:val="2"/>
          <w:sz w:val="24"/>
          <w:szCs w:val="24"/>
          <w:highlight w:val="none"/>
          <w:lang w:val="en-US" w:eastAsia="zh-CN"/>
        </w:rPr>
        <w:t>10.《建筑桩基技术规范》JGJ94-2008</w:t>
      </w:r>
    </w:p>
    <w:p w14:paraId="7E2B33DD">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lang w:val="en-US" w:eastAsia="zh-CN"/>
        </w:rPr>
      </w:pPr>
      <w:r>
        <w:rPr>
          <w:rFonts w:hint="eastAsia" w:ascii="宋体" w:hAnsi="宋体" w:eastAsia="宋体" w:cs="宋体"/>
          <w:spacing w:val="2"/>
          <w:sz w:val="24"/>
          <w:szCs w:val="24"/>
          <w:highlight w:val="none"/>
          <w:lang w:val="en-US" w:eastAsia="zh-CN"/>
        </w:rPr>
        <w:t>11.《钢结构工程施工质量验收规范》GB50205-2001</w:t>
      </w:r>
    </w:p>
    <w:p w14:paraId="716F1AFD">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lang w:val="en-US" w:eastAsia="zh-CN"/>
        </w:rPr>
      </w:pPr>
      <w:r>
        <w:rPr>
          <w:rFonts w:hint="eastAsia" w:ascii="宋体" w:hAnsi="宋体" w:eastAsia="宋体" w:cs="宋体"/>
          <w:spacing w:val="2"/>
          <w:sz w:val="24"/>
          <w:szCs w:val="24"/>
          <w:highlight w:val="none"/>
          <w:lang w:val="en-US" w:eastAsia="zh-CN"/>
        </w:rPr>
        <w:t>12.《混凝土结构工程施工规范》GB50666-2011</w:t>
      </w:r>
    </w:p>
    <w:p w14:paraId="1FCFE692">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lang w:val="en-US" w:eastAsia="zh-CN"/>
        </w:rPr>
      </w:pPr>
      <w:r>
        <w:rPr>
          <w:rFonts w:hint="eastAsia" w:ascii="宋体" w:hAnsi="宋体" w:eastAsia="宋体" w:cs="宋体"/>
          <w:spacing w:val="2"/>
          <w:sz w:val="24"/>
          <w:szCs w:val="24"/>
          <w:highlight w:val="none"/>
          <w:lang w:val="en-US" w:eastAsia="zh-CN"/>
        </w:rPr>
        <w:t>13.《装配式混凝土结构技术规程》JGJ1-2014</w:t>
      </w:r>
    </w:p>
    <w:p w14:paraId="4EE81507">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lang w:val="en-US" w:eastAsia="zh-CN"/>
        </w:rPr>
      </w:pPr>
      <w:r>
        <w:rPr>
          <w:rFonts w:hint="eastAsia" w:ascii="宋体" w:hAnsi="宋体" w:eastAsia="宋体" w:cs="宋体"/>
          <w:spacing w:val="2"/>
          <w:sz w:val="24"/>
          <w:szCs w:val="24"/>
          <w:highlight w:val="none"/>
          <w:lang w:val="en-US" w:eastAsia="zh-CN"/>
        </w:rPr>
        <w:t>14.《混凝土强度检验评定标准》GB50107-2010</w:t>
      </w:r>
    </w:p>
    <w:p w14:paraId="0223F1A9">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lang w:val="en-US" w:eastAsia="zh-CN"/>
        </w:rPr>
      </w:pPr>
      <w:r>
        <w:rPr>
          <w:rFonts w:hint="eastAsia" w:ascii="宋体" w:hAnsi="宋体" w:eastAsia="宋体" w:cs="宋体"/>
          <w:spacing w:val="2"/>
          <w:sz w:val="24"/>
          <w:szCs w:val="24"/>
          <w:highlight w:val="none"/>
          <w:lang w:val="en-US" w:eastAsia="zh-CN"/>
        </w:rPr>
        <w:t xml:space="preserve">15.《地下防水工程质量验收规范》GB 50208-2011 </w:t>
      </w:r>
    </w:p>
    <w:p w14:paraId="015A0621">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lang w:val="en-US" w:eastAsia="zh-CN"/>
        </w:rPr>
      </w:pPr>
      <w:r>
        <w:rPr>
          <w:rFonts w:hint="eastAsia" w:ascii="宋体" w:hAnsi="宋体" w:eastAsia="宋体" w:cs="宋体"/>
          <w:spacing w:val="2"/>
          <w:sz w:val="24"/>
          <w:szCs w:val="24"/>
          <w:highlight w:val="none"/>
          <w:lang w:val="en-US" w:eastAsia="zh-CN"/>
        </w:rPr>
        <w:t>16.《塔式起重机安全规程》GB 5144-2006</w:t>
      </w:r>
    </w:p>
    <w:p w14:paraId="2A19A273">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lang w:val="en-US" w:eastAsia="zh-CN"/>
        </w:rPr>
      </w:pPr>
      <w:r>
        <w:rPr>
          <w:rFonts w:hint="eastAsia" w:ascii="宋体" w:hAnsi="宋体" w:eastAsia="宋体" w:cs="宋体"/>
          <w:spacing w:val="2"/>
          <w:sz w:val="24"/>
          <w:szCs w:val="24"/>
          <w:highlight w:val="none"/>
          <w:lang w:val="en-US" w:eastAsia="zh-CN"/>
        </w:rPr>
        <w:t>17.《山东省建筑施工企业安全生产许可证动态考核办法》</w:t>
      </w:r>
    </w:p>
    <w:p w14:paraId="363AA32A">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lang w:val="en-US" w:eastAsia="zh-CN"/>
        </w:rPr>
      </w:pPr>
      <w:r>
        <w:rPr>
          <w:rFonts w:hint="eastAsia" w:ascii="宋体" w:hAnsi="宋体" w:eastAsia="宋体" w:cs="宋体"/>
          <w:spacing w:val="2"/>
          <w:sz w:val="24"/>
          <w:szCs w:val="24"/>
          <w:highlight w:val="none"/>
          <w:lang w:val="en-US" w:eastAsia="zh-CN"/>
        </w:rPr>
        <w:t>18.《建筑施工安全检查标准》</w:t>
      </w:r>
    </w:p>
    <w:p w14:paraId="44879138">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lang w:val="en-US" w:eastAsia="zh-CN"/>
        </w:rPr>
      </w:pPr>
      <w:r>
        <w:rPr>
          <w:rFonts w:hint="eastAsia" w:ascii="宋体" w:hAnsi="宋体" w:eastAsia="宋体" w:cs="宋体"/>
          <w:spacing w:val="2"/>
          <w:sz w:val="24"/>
          <w:szCs w:val="24"/>
          <w:highlight w:val="none"/>
          <w:lang w:val="en-US" w:eastAsia="zh-CN"/>
        </w:rPr>
        <w:t>19.《市政工程施工安全检查准》</w:t>
      </w:r>
    </w:p>
    <w:p w14:paraId="49D8CC5E">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lang w:val="en-US" w:eastAsia="zh-CN"/>
        </w:rPr>
      </w:pPr>
      <w:r>
        <w:rPr>
          <w:rFonts w:hint="eastAsia" w:ascii="宋体" w:hAnsi="宋体" w:eastAsia="宋体" w:cs="宋体"/>
          <w:spacing w:val="2"/>
          <w:sz w:val="24"/>
          <w:szCs w:val="24"/>
          <w:highlight w:val="none"/>
          <w:lang w:val="en-US" w:eastAsia="zh-CN"/>
        </w:rPr>
        <w:t xml:space="preserve">20.《施工升降机安全使用规程》GB/T 34023-2017 </w:t>
      </w:r>
    </w:p>
    <w:p w14:paraId="725F3926">
      <w:pPr>
        <w:keepNext w:val="0"/>
        <w:keepLines w:val="0"/>
        <w:pageBreakBefore w:val="0"/>
        <w:wordWrap/>
        <w:overflowPunct/>
        <w:topLinePunct w:val="0"/>
        <w:bidi w:val="0"/>
        <w:spacing w:line="360" w:lineRule="auto"/>
        <w:ind w:left="0" w:right="0" w:firstLine="488" w:firstLineChars="200"/>
        <w:rPr>
          <w:rFonts w:hint="eastAsia" w:ascii="宋体" w:hAnsi="宋体" w:eastAsia="宋体" w:cs="宋体"/>
          <w:spacing w:val="2"/>
          <w:sz w:val="24"/>
          <w:szCs w:val="24"/>
          <w:highlight w:val="none"/>
          <w:lang w:val="en-US" w:eastAsia="zh-CN"/>
        </w:rPr>
      </w:pPr>
      <w:r>
        <w:rPr>
          <w:rFonts w:hint="eastAsia" w:ascii="宋体" w:hAnsi="宋体" w:eastAsia="宋体" w:cs="宋体"/>
          <w:spacing w:val="2"/>
          <w:sz w:val="24"/>
          <w:szCs w:val="24"/>
          <w:highlight w:val="none"/>
          <w:lang w:val="en-US" w:eastAsia="zh-CN"/>
        </w:rPr>
        <w:t>21.其他现行的相关规范、标准及采购人管理标准</w:t>
      </w:r>
    </w:p>
    <w:p w14:paraId="3D6E88D8">
      <w:pPr>
        <w:keepNext w:val="0"/>
        <w:keepLines w:val="0"/>
        <w:pageBreakBefore w:val="0"/>
        <w:wordWrap/>
        <w:overflowPunct/>
        <w:topLinePunct w:val="0"/>
        <w:bidi w:val="0"/>
        <w:spacing w:line="360" w:lineRule="auto"/>
        <w:ind w:left="0" w:right="0" w:firstLine="476" w:firstLineChars="200"/>
        <w:rPr>
          <w:rFonts w:hint="eastAsia" w:ascii="宋体" w:hAnsi="宋体" w:eastAsia="宋体" w:cs="宋体"/>
          <w:sz w:val="24"/>
          <w:szCs w:val="24"/>
          <w:highlight w:val="none"/>
        </w:rPr>
      </w:pPr>
      <w:r>
        <w:rPr>
          <w:rFonts w:hint="eastAsia" w:ascii="宋体" w:hAnsi="宋体" w:eastAsia="宋体" w:cs="宋体"/>
          <w:b/>
          <w:bCs/>
          <w:spacing w:val="-1"/>
          <w:sz w:val="24"/>
          <w:szCs w:val="24"/>
          <w:highlight w:val="none"/>
          <w:lang w:eastAsia="zh-CN"/>
        </w:rPr>
        <w:t>（</w:t>
      </w:r>
      <w:r>
        <w:rPr>
          <w:rFonts w:hint="eastAsia" w:ascii="宋体" w:hAnsi="宋体" w:eastAsia="宋体" w:cs="宋体"/>
          <w:b/>
          <w:bCs/>
          <w:spacing w:val="-1"/>
          <w:sz w:val="24"/>
          <w:szCs w:val="24"/>
          <w:highlight w:val="none"/>
          <w:lang w:val="en-US" w:eastAsia="zh-CN"/>
        </w:rPr>
        <w:t>四</w:t>
      </w:r>
      <w:r>
        <w:rPr>
          <w:rFonts w:hint="eastAsia" w:ascii="宋体" w:hAnsi="宋体" w:eastAsia="宋体" w:cs="宋体"/>
          <w:b/>
          <w:bCs/>
          <w:spacing w:val="-1"/>
          <w:sz w:val="24"/>
          <w:szCs w:val="24"/>
          <w:highlight w:val="none"/>
          <w:lang w:eastAsia="zh-CN"/>
        </w:rPr>
        <w:t>）</w:t>
      </w:r>
      <w:r>
        <w:rPr>
          <w:rFonts w:hint="eastAsia" w:ascii="宋体" w:hAnsi="宋体" w:eastAsia="宋体" w:cs="宋体"/>
          <w:b/>
          <w:bCs/>
          <w:spacing w:val="-1"/>
          <w:sz w:val="24"/>
          <w:szCs w:val="24"/>
          <w:highlight w:val="none"/>
        </w:rPr>
        <w:t>.需满足的质量、安全、技术规格、物理特性等要求</w:t>
      </w:r>
    </w:p>
    <w:p w14:paraId="47EACC99">
      <w:pPr>
        <w:keepNext w:val="0"/>
        <w:keepLines w:val="0"/>
        <w:pageBreakBefore w:val="0"/>
        <w:wordWrap/>
        <w:overflowPunct/>
        <w:topLinePunct w:val="0"/>
        <w:bidi w:val="0"/>
        <w:spacing w:line="360" w:lineRule="auto"/>
        <w:ind w:left="0" w:right="0" w:firstLine="468" w:firstLineChars="200"/>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1.供应商项目服务班子人员至少</w:t>
      </w:r>
      <w:r>
        <w:rPr>
          <w:rFonts w:hint="eastAsia" w:ascii="宋体" w:hAnsi="宋体" w:eastAsia="宋体" w:cs="宋体"/>
          <w:spacing w:val="-3"/>
          <w:sz w:val="24"/>
          <w:szCs w:val="24"/>
          <w:highlight w:val="none"/>
          <w:lang w:val="en-US" w:eastAsia="zh-CN"/>
        </w:rPr>
        <w:t xml:space="preserve"> </w:t>
      </w:r>
      <w:r>
        <w:rPr>
          <w:rFonts w:hint="eastAsia" w:ascii="宋体" w:hAnsi="宋体" w:eastAsia="宋体" w:cs="宋体"/>
          <w:spacing w:val="-33"/>
          <w:sz w:val="24"/>
          <w:szCs w:val="24"/>
          <w:highlight w:val="none"/>
          <w:lang w:val="en-US" w:eastAsia="zh-CN"/>
        </w:rPr>
        <w:t xml:space="preserve">10 </w:t>
      </w:r>
      <w:r>
        <w:rPr>
          <w:rFonts w:hint="eastAsia" w:ascii="宋体" w:hAnsi="宋体" w:eastAsia="宋体" w:cs="宋体"/>
          <w:spacing w:val="-3"/>
          <w:sz w:val="24"/>
          <w:szCs w:val="24"/>
          <w:highlight w:val="none"/>
        </w:rPr>
        <w:t>人以上，人员配备合</w:t>
      </w:r>
      <w:r>
        <w:rPr>
          <w:rFonts w:hint="eastAsia" w:ascii="宋体" w:hAnsi="宋体" w:eastAsia="宋体" w:cs="宋体"/>
          <w:spacing w:val="-4"/>
          <w:sz w:val="24"/>
          <w:szCs w:val="24"/>
          <w:highlight w:val="none"/>
        </w:rPr>
        <w:t>理，专业齐全，有</w:t>
      </w:r>
      <w:r>
        <w:rPr>
          <w:rFonts w:hint="eastAsia" w:ascii="宋体" w:hAnsi="宋体" w:eastAsia="宋体" w:cs="宋体"/>
          <w:spacing w:val="-1"/>
          <w:sz w:val="24"/>
          <w:szCs w:val="24"/>
          <w:highlight w:val="none"/>
        </w:rPr>
        <w:t>针对性。（合同实施期间人员结构应相对固定，如确需更换，应于变更前</w:t>
      </w:r>
      <w:r>
        <w:rPr>
          <w:rFonts w:hint="eastAsia" w:ascii="宋体" w:hAnsi="宋体" w:eastAsia="宋体" w:cs="宋体"/>
          <w:spacing w:val="-21"/>
          <w:sz w:val="24"/>
          <w:szCs w:val="24"/>
          <w:highlight w:val="none"/>
        </w:rPr>
        <w:t xml:space="preserve"> </w:t>
      </w:r>
      <w:r>
        <w:rPr>
          <w:rFonts w:hint="eastAsia" w:ascii="宋体" w:hAnsi="宋体" w:eastAsia="宋体" w:cs="宋体"/>
          <w:spacing w:val="-1"/>
          <w:sz w:val="24"/>
          <w:szCs w:val="24"/>
          <w:highlight w:val="none"/>
        </w:rPr>
        <w:t>5 日内去市</w:t>
      </w:r>
      <w:r>
        <w:rPr>
          <w:rFonts w:hint="eastAsia" w:ascii="宋体" w:hAnsi="宋体" w:eastAsia="宋体" w:cs="宋体"/>
          <w:spacing w:val="1"/>
          <w:sz w:val="24"/>
          <w:szCs w:val="24"/>
          <w:highlight w:val="none"/>
        </w:rPr>
        <w:t>住建局报备，变更后人员职称及工作经验不低于原检查人员。）现场实测实量设备齐</w:t>
      </w:r>
      <w:r>
        <w:rPr>
          <w:rFonts w:hint="eastAsia" w:ascii="宋体" w:hAnsi="宋体" w:eastAsia="宋体" w:cs="宋体"/>
          <w:sz w:val="24"/>
          <w:szCs w:val="24"/>
          <w:highlight w:val="none"/>
        </w:rPr>
        <w:t>全，并委托随队检测机构承担抽测任务。</w:t>
      </w:r>
    </w:p>
    <w:p w14:paraId="7148C877">
      <w:pPr>
        <w:keepNext w:val="0"/>
        <w:keepLines w:val="0"/>
        <w:pageBreakBefore w:val="0"/>
        <w:wordWrap/>
        <w:overflowPunct/>
        <w:topLinePunct w:val="0"/>
        <w:bidi w:val="0"/>
        <w:spacing w:line="360" w:lineRule="auto"/>
        <w:ind w:left="0" w:right="0" w:firstLine="484" w:firstLineChars="200"/>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2.供应商应制定巡查内容指标体系，并根据巡查情况及时调整完善，做好宣讲和</w:t>
      </w:r>
      <w:r>
        <w:rPr>
          <w:rFonts w:hint="eastAsia" w:ascii="宋体" w:hAnsi="宋体" w:eastAsia="宋体" w:cs="宋体"/>
          <w:spacing w:val="-11"/>
          <w:sz w:val="24"/>
          <w:szCs w:val="24"/>
          <w:highlight w:val="none"/>
        </w:rPr>
        <w:t>公开。</w:t>
      </w:r>
    </w:p>
    <w:p w14:paraId="16DF7CBA">
      <w:pPr>
        <w:keepNext w:val="0"/>
        <w:keepLines w:val="0"/>
        <w:pageBreakBefore w:val="0"/>
        <w:wordWrap/>
        <w:overflowPunct/>
        <w:topLinePunct w:val="0"/>
        <w:bidi w:val="0"/>
        <w:spacing w:line="360" w:lineRule="auto"/>
        <w:ind w:left="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3.供应商应组织对巡查人员开展专题培训交底。</w:t>
      </w:r>
    </w:p>
    <w:p w14:paraId="0FBE7547">
      <w:pPr>
        <w:keepNext w:val="0"/>
        <w:keepLines w:val="0"/>
        <w:pageBreakBefore w:val="0"/>
        <w:wordWrap/>
        <w:overflowPunct/>
        <w:topLinePunct w:val="0"/>
        <w:bidi w:val="0"/>
        <w:spacing w:line="360" w:lineRule="auto"/>
        <w:ind w:left="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4.满足国家相关标准、行业标准、地方标准及采购人管理标准。</w:t>
      </w:r>
    </w:p>
    <w:p w14:paraId="20528D4F">
      <w:pPr>
        <w:keepNext w:val="0"/>
        <w:keepLines w:val="0"/>
        <w:pageBreakBefore w:val="0"/>
        <w:wordWrap/>
        <w:overflowPunct/>
        <w:topLinePunct w:val="0"/>
        <w:bidi w:val="0"/>
        <w:spacing w:line="360" w:lineRule="auto"/>
        <w:ind w:left="0" w:right="0" w:firstLine="472" w:firstLineChars="200"/>
        <w:rPr>
          <w:rFonts w:hint="eastAsia" w:ascii="宋体" w:hAnsi="宋体" w:eastAsia="宋体" w:cs="宋体"/>
          <w:sz w:val="24"/>
          <w:szCs w:val="24"/>
          <w:highlight w:val="none"/>
        </w:rPr>
      </w:pPr>
      <w:r>
        <w:rPr>
          <w:rFonts w:hint="eastAsia" w:ascii="宋体" w:hAnsi="宋体" w:eastAsia="宋体" w:cs="宋体"/>
          <w:b/>
          <w:bCs/>
          <w:spacing w:val="-2"/>
          <w:sz w:val="24"/>
          <w:szCs w:val="24"/>
          <w:highlight w:val="none"/>
          <w:lang w:eastAsia="zh-CN"/>
        </w:rPr>
        <w:t>（</w:t>
      </w:r>
      <w:r>
        <w:rPr>
          <w:rFonts w:hint="eastAsia" w:ascii="宋体" w:hAnsi="宋体" w:eastAsia="宋体" w:cs="宋体"/>
          <w:b/>
          <w:bCs/>
          <w:spacing w:val="-2"/>
          <w:sz w:val="24"/>
          <w:szCs w:val="24"/>
          <w:highlight w:val="none"/>
          <w:lang w:val="en-US" w:eastAsia="zh-CN"/>
        </w:rPr>
        <w:t>五</w:t>
      </w:r>
      <w:r>
        <w:rPr>
          <w:rFonts w:hint="eastAsia" w:ascii="宋体" w:hAnsi="宋体" w:eastAsia="宋体" w:cs="宋体"/>
          <w:b/>
          <w:bCs/>
          <w:spacing w:val="-2"/>
          <w:sz w:val="24"/>
          <w:szCs w:val="24"/>
          <w:highlight w:val="none"/>
          <w:lang w:eastAsia="zh-CN"/>
        </w:rPr>
        <w:t>）</w:t>
      </w:r>
      <w:r>
        <w:rPr>
          <w:rFonts w:hint="eastAsia" w:ascii="宋体" w:hAnsi="宋体" w:eastAsia="宋体" w:cs="宋体"/>
          <w:b/>
          <w:bCs/>
          <w:spacing w:val="-2"/>
          <w:sz w:val="24"/>
          <w:szCs w:val="24"/>
          <w:highlight w:val="none"/>
        </w:rPr>
        <w:t>.需满足的政府采购政策要求</w:t>
      </w:r>
    </w:p>
    <w:p w14:paraId="01FD01B8">
      <w:pPr>
        <w:keepNext w:val="0"/>
        <w:keepLines w:val="0"/>
        <w:pageBreakBefore w:val="0"/>
        <w:wordWrap/>
        <w:overflowPunct/>
        <w:topLinePunct w:val="0"/>
        <w:bidi w:val="0"/>
        <w:spacing w:line="360" w:lineRule="auto"/>
        <w:ind w:left="0" w:right="0"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依据《中华人民共和国政府采购法》和《中华人</w:t>
      </w:r>
      <w:r>
        <w:rPr>
          <w:rFonts w:hint="eastAsia" w:ascii="宋体" w:hAnsi="宋体" w:eastAsia="宋体" w:cs="宋体"/>
          <w:spacing w:val="-1"/>
          <w:sz w:val="24"/>
          <w:szCs w:val="24"/>
          <w:highlight w:val="none"/>
        </w:rPr>
        <w:t>民共和国政府采购法实施条例》</w:t>
      </w:r>
      <w:r>
        <w:rPr>
          <w:rFonts w:hint="eastAsia" w:ascii="宋体" w:hAnsi="宋体" w:eastAsia="宋体" w:cs="宋体"/>
          <w:sz w:val="24"/>
          <w:szCs w:val="24"/>
          <w:highlight w:val="none"/>
        </w:rPr>
        <w:t xml:space="preserve"> 的有关规定，落实政府采购“优先购买节能环保产品、扶持小微企业、监狱企业、福  利企业”等相关政策。</w:t>
      </w:r>
    </w:p>
    <w:p w14:paraId="7CBA9367">
      <w:pPr>
        <w:keepNext w:val="0"/>
        <w:keepLines w:val="0"/>
        <w:pageBreakBefore w:val="0"/>
        <w:wordWrap/>
        <w:overflowPunct/>
        <w:topLinePunct w:val="0"/>
        <w:bidi w:val="0"/>
        <w:spacing w:line="360" w:lineRule="auto"/>
        <w:ind w:left="0" w:right="0" w:firstLine="476" w:firstLineChars="200"/>
        <w:rPr>
          <w:rFonts w:hint="eastAsia" w:ascii="宋体" w:hAnsi="宋体" w:eastAsia="宋体" w:cs="宋体"/>
          <w:sz w:val="24"/>
          <w:szCs w:val="24"/>
          <w:highlight w:val="none"/>
        </w:rPr>
      </w:pPr>
      <w:r>
        <w:rPr>
          <w:rFonts w:hint="eastAsia" w:ascii="宋体" w:hAnsi="宋体" w:eastAsia="宋体" w:cs="宋体"/>
          <w:b/>
          <w:bCs/>
          <w:spacing w:val="-1"/>
          <w:sz w:val="24"/>
          <w:szCs w:val="24"/>
          <w:highlight w:val="none"/>
          <w:lang w:eastAsia="zh-CN"/>
        </w:rPr>
        <w:t>（</w:t>
      </w:r>
      <w:r>
        <w:rPr>
          <w:rFonts w:hint="eastAsia" w:ascii="宋体" w:hAnsi="宋体" w:eastAsia="宋体" w:cs="宋体"/>
          <w:b/>
          <w:bCs/>
          <w:spacing w:val="-1"/>
          <w:sz w:val="24"/>
          <w:szCs w:val="24"/>
          <w:highlight w:val="none"/>
          <w:lang w:val="en-US" w:eastAsia="zh-CN"/>
        </w:rPr>
        <w:t>六</w:t>
      </w:r>
      <w:r>
        <w:rPr>
          <w:rFonts w:hint="eastAsia" w:ascii="宋体" w:hAnsi="宋体" w:eastAsia="宋体" w:cs="宋体"/>
          <w:b/>
          <w:bCs/>
          <w:spacing w:val="-1"/>
          <w:sz w:val="24"/>
          <w:szCs w:val="24"/>
          <w:highlight w:val="none"/>
          <w:lang w:eastAsia="zh-CN"/>
        </w:rPr>
        <w:t>）</w:t>
      </w:r>
      <w:r>
        <w:rPr>
          <w:rFonts w:hint="eastAsia" w:ascii="宋体" w:hAnsi="宋体" w:eastAsia="宋体" w:cs="宋体"/>
          <w:b/>
          <w:bCs/>
          <w:spacing w:val="-1"/>
          <w:sz w:val="24"/>
          <w:szCs w:val="24"/>
          <w:highlight w:val="none"/>
        </w:rPr>
        <w:t>.项目交付或者实施的时间和地点</w:t>
      </w:r>
    </w:p>
    <w:p w14:paraId="7EA2BF63">
      <w:pPr>
        <w:keepNext w:val="0"/>
        <w:keepLines w:val="0"/>
        <w:pageBreakBefore w:val="0"/>
        <w:wordWrap/>
        <w:overflowPunct/>
        <w:topLinePunct w:val="0"/>
        <w:bidi w:val="0"/>
        <w:spacing w:line="360" w:lineRule="auto"/>
        <w:ind w:left="0" w:right="0" w:firstLine="468" w:firstLineChars="200"/>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服务期限：</w:t>
      </w:r>
      <w:r>
        <w:rPr>
          <w:rFonts w:hint="eastAsia" w:ascii="宋体" w:hAnsi="宋体" w:eastAsia="宋体" w:cs="宋体"/>
          <w:spacing w:val="-57"/>
          <w:sz w:val="24"/>
          <w:szCs w:val="24"/>
          <w:highlight w:val="none"/>
        </w:rPr>
        <w:t xml:space="preserve"> </w:t>
      </w:r>
      <w:r>
        <w:rPr>
          <w:rFonts w:hint="eastAsia" w:ascii="宋体" w:hAnsi="宋体" w:eastAsia="宋体" w:cs="宋体"/>
          <w:spacing w:val="-3"/>
          <w:sz w:val="24"/>
          <w:szCs w:val="24"/>
          <w:highlight w:val="none"/>
        </w:rPr>
        <w:t>自合同生效之日起一年。</w:t>
      </w:r>
    </w:p>
    <w:p w14:paraId="46A2DB9B">
      <w:pPr>
        <w:keepNext w:val="0"/>
        <w:keepLines w:val="0"/>
        <w:pageBreakBefore w:val="0"/>
        <w:wordWrap/>
        <w:overflowPunct/>
        <w:topLinePunct w:val="0"/>
        <w:bidi w:val="0"/>
        <w:spacing w:line="360" w:lineRule="auto"/>
        <w:ind w:left="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实施的地点：采购人指定服务地点。</w:t>
      </w:r>
    </w:p>
    <w:p w14:paraId="6AE06E35">
      <w:pPr>
        <w:keepNext w:val="0"/>
        <w:keepLines w:val="0"/>
        <w:pageBreakBefore w:val="0"/>
        <w:wordWrap/>
        <w:overflowPunct/>
        <w:topLinePunct w:val="0"/>
        <w:bidi w:val="0"/>
        <w:spacing w:line="360" w:lineRule="auto"/>
        <w:ind w:left="0" w:right="0" w:firstLine="476" w:firstLineChars="200"/>
        <w:rPr>
          <w:rFonts w:hint="eastAsia" w:ascii="宋体" w:hAnsi="宋体" w:eastAsia="宋体" w:cs="宋体"/>
          <w:sz w:val="24"/>
          <w:szCs w:val="24"/>
          <w:highlight w:val="none"/>
        </w:rPr>
      </w:pPr>
      <w:r>
        <w:rPr>
          <w:rFonts w:hint="eastAsia" w:ascii="宋体" w:hAnsi="宋体" w:eastAsia="宋体" w:cs="宋体"/>
          <w:b/>
          <w:bCs/>
          <w:spacing w:val="-1"/>
          <w:sz w:val="24"/>
          <w:szCs w:val="24"/>
          <w:highlight w:val="none"/>
          <w:lang w:eastAsia="zh-CN"/>
        </w:rPr>
        <w:t>（</w:t>
      </w:r>
      <w:r>
        <w:rPr>
          <w:rFonts w:hint="eastAsia" w:ascii="宋体" w:hAnsi="宋体" w:eastAsia="宋体" w:cs="宋体"/>
          <w:b/>
          <w:bCs/>
          <w:spacing w:val="-1"/>
          <w:sz w:val="24"/>
          <w:szCs w:val="24"/>
          <w:highlight w:val="none"/>
          <w:lang w:val="en-US" w:eastAsia="zh-CN"/>
        </w:rPr>
        <w:t>七</w:t>
      </w:r>
      <w:r>
        <w:rPr>
          <w:rFonts w:hint="eastAsia" w:ascii="宋体" w:hAnsi="宋体" w:eastAsia="宋体" w:cs="宋体"/>
          <w:b/>
          <w:bCs/>
          <w:spacing w:val="-1"/>
          <w:sz w:val="24"/>
          <w:szCs w:val="24"/>
          <w:highlight w:val="none"/>
          <w:lang w:eastAsia="zh-CN"/>
        </w:rPr>
        <w:t>）</w:t>
      </w:r>
      <w:r>
        <w:rPr>
          <w:rFonts w:hint="eastAsia" w:ascii="宋体" w:hAnsi="宋体" w:eastAsia="宋体" w:cs="宋体"/>
          <w:b/>
          <w:bCs/>
          <w:spacing w:val="-1"/>
          <w:sz w:val="24"/>
          <w:szCs w:val="24"/>
          <w:highlight w:val="none"/>
        </w:rPr>
        <w:t>.需满足的服务标准、期限、效率等要求</w:t>
      </w:r>
    </w:p>
    <w:p w14:paraId="072EF8F3">
      <w:pPr>
        <w:keepNext w:val="0"/>
        <w:keepLines w:val="0"/>
        <w:pageBreakBefore w:val="0"/>
        <w:wordWrap/>
        <w:overflowPunct/>
        <w:topLinePunct w:val="0"/>
        <w:bidi w:val="0"/>
        <w:spacing w:line="360" w:lineRule="auto"/>
        <w:ind w:left="0" w:right="0" w:firstLine="492" w:firstLineChars="200"/>
        <w:jc w:val="both"/>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熟悉工程实体质量、安全、内业资料、扬尘以及参建主体质量安全行为检查内</w:t>
      </w:r>
      <w:r>
        <w:rPr>
          <w:rFonts w:hint="eastAsia" w:ascii="宋体" w:hAnsi="宋体" w:eastAsia="宋体" w:cs="宋体"/>
          <w:sz w:val="24"/>
          <w:szCs w:val="24"/>
          <w:highlight w:val="none"/>
        </w:rPr>
        <w:t>容；项目负责人须具有高级工程师职称</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工程相关专业</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并具有注册一级建造师或注册监理师资格</w:t>
      </w:r>
      <w:r>
        <w:rPr>
          <w:rFonts w:hint="eastAsia" w:ascii="宋体" w:hAnsi="宋体" w:eastAsia="宋体" w:cs="宋体"/>
          <w:color w:val="auto"/>
          <w:sz w:val="24"/>
          <w:szCs w:val="24"/>
          <w:highlight w:val="none"/>
        </w:rPr>
        <w:t>；每</w:t>
      </w:r>
      <w:r>
        <w:rPr>
          <w:rFonts w:hint="eastAsia" w:ascii="宋体" w:hAnsi="宋体" w:eastAsia="宋体" w:cs="宋体"/>
          <w:color w:val="auto"/>
          <w:spacing w:val="-1"/>
          <w:sz w:val="24"/>
          <w:szCs w:val="24"/>
          <w:highlight w:val="none"/>
        </w:rPr>
        <w:t>个检查组不少于</w:t>
      </w:r>
      <w:r>
        <w:rPr>
          <w:rFonts w:hint="eastAsia" w:ascii="宋体" w:hAnsi="宋体" w:eastAsia="宋体" w:cs="宋体"/>
          <w:color w:val="auto"/>
          <w:spacing w:val="-31"/>
          <w:sz w:val="24"/>
          <w:szCs w:val="24"/>
          <w:highlight w:val="none"/>
        </w:rPr>
        <w:t xml:space="preserve"> </w:t>
      </w:r>
      <w:r>
        <w:rPr>
          <w:rFonts w:hint="eastAsia" w:ascii="宋体" w:hAnsi="宋体" w:eastAsia="宋体" w:cs="宋体"/>
          <w:color w:val="auto"/>
          <w:spacing w:val="-1"/>
          <w:sz w:val="24"/>
          <w:szCs w:val="24"/>
          <w:highlight w:val="none"/>
        </w:rPr>
        <w:t>5</w:t>
      </w:r>
      <w:r>
        <w:rPr>
          <w:rFonts w:hint="eastAsia" w:ascii="宋体" w:hAnsi="宋体" w:eastAsia="宋体" w:cs="宋体"/>
          <w:color w:val="auto"/>
          <w:spacing w:val="-46"/>
          <w:sz w:val="24"/>
          <w:szCs w:val="24"/>
          <w:highlight w:val="none"/>
        </w:rPr>
        <w:t xml:space="preserve"> </w:t>
      </w:r>
      <w:r>
        <w:rPr>
          <w:rFonts w:hint="eastAsia" w:ascii="宋体" w:hAnsi="宋体" w:eastAsia="宋体" w:cs="宋体"/>
          <w:color w:val="auto"/>
          <w:spacing w:val="-1"/>
          <w:sz w:val="24"/>
          <w:szCs w:val="24"/>
          <w:highlight w:val="none"/>
        </w:rPr>
        <w:t>人</w:t>
      </w:r>
      <w:r>
        <w:rPr>
          <w:rFonts w:hint="eastAsia" w:cs="宋体"/>
          <w:color w:val="auto"/>
          <w:spacing w:val="-1"/>
          <w:sz w:val="24"/>
          <w:szCs w:val="24"/>
          <w:highlight w:val="none"/>
          <w:lang w:eastAsia="zh-CN"/>
        </w:rPr>
        <w:t>（</w:t>
      </w:r>
      <w:r>
        <w:rPr>
          <w:rFonts w:hint="eastAsia" w:cs="宋体"/>
          <w:color w:val="auto"/>
          <w:spacing w:val="-1"/>
          <w:sz w:val="24"/>
          <w:szCs w:val="24"/>
          <w:highlight w:val="none"/>
          <w:lang w:val="en-US" w:eastAsia="zh-CN"/>
        </w:rPr>
        <w:t>安全检查、质量检查、施工机械检查、业内资料检查、施工材料抽检等</w:t>
      </w:r>
      <w:r>
        <w:rPr>
          <w:rFonts w:hint="eastAsia" w:cs="宋体"/>
          <w:color w:val="auto"/>
          <w:spacing w:val="-1"/>
          <w:sz w:val="24"/>
          <w:szCs w:val="24"/>
          <w:highlight w:val="none"/>
          <w:lang w:eastAsia="zh-CN"/>
        </w:rPr>
        <w:t>），</w:t>
      </w:r>
      <w:r>
        <w:rPr>
          <w:rFonts w:hint="eastAsia" w:cs="宋体"/>
          <w:color w:val="auto"/>
          <w:spacing w:val="-1"/>
          <w:sz w:val="24"/>
          <w:szCs w:val="24"/>
          <w:highlight w:val="none"/>
          <w:lang w:val="en-US" w:eastAsia="zh-CN"/>
        </w:rPr>
        <w:t>其中</w:t>
      </w:r>
      <w:r>
        <w:rPr>
          <w:rFonts w:hint="eastAsia" w:ascii="宋体" w:hAnsi="宋体" w:eastAsia="宋体" w:cs="宋体"/>
          <w:color w:val="auto"/>
          <w:sz w:val="24"/>
          <w:szCs w:val="24"/>
          <w:highlight w:val="none"/>
        </w:rPr>
        <w:t>安全检查人员</w:t>
      </w:r>
      <w:r>
        <w:rPr>
          <w:rFonts w:hint="eastAsia" w:cs="宋体"/>
          <w:color w:val="auto"/>
          <w:sz w:val="24"/>
          <w:szCs w:val="24"/>
          <w:highlight w:val="none"/>
          <w:lang w:val="en-US" w:eastAsia="zh-CN"/>
        </w:rPr>
        <w:t>至少有一人</w:t>
      </w:r>
      <w:r>
        <w:rPr>
          <w:rFonts w:hint="eastAsia" w:ascii="宋体" w:hAnsi="宋体" w:eastAsia="宋体" w:cs="宋体"/>
          <w:color w:val="auto"/>
          <w:sz w:val="24"/>
          <w:szCs w:val="24"/>
          <w:highlight w:val="none"/>
        </w:rPr>
        <w:t>具有中级工程师及以上职称(工程相关专业)并具有注册一级建造师资格或注册监理师资格或注册安全工程师</w:t>
      </w:r>
      <w:r>
        <w:rPr>
          <w:rFonts w:hint="eastAsia" w:ascii="宋体" w:hAnsi="宋体" w:eastAsia="宋体" w:cs="宋体"/>
          <w:color w:val="auto"/>
          <w:spacing w:val="-1"/>
          <w:sz w:val="24"/>
          <w:szCs w:val="24"/>
          <w:highlight w:val="none"/>
        </w:rPr>
        <w:t>。每轮巡查前</w:t>
      </w:r>
      <w:r>
        <w:rPr>
          <w:rFonts w:hint="eastAsia" w:ascii="宋体" w:hAnsi="宋体" w:eastAsia="宋体" w:cs="宋体"/>
          <w:spacing w:val="-1"/>
          <w:sz w:val="24"/>
          <w:szCs w:val="24"/>
          <w:highlight w:val="none"/>
        </w:rPr>
        <w:t>应将巡</w:t>
      </w:r>
      <w:r>
        <w:rPr>
          <w:rFonts w:hint="eastAsia" w:ascii="宋体" w:hAnsi="宋体" w:eastAsia="宋体" w:cs="宋体"/>
          <w:sz w:val="24"/>
          <w:szCs w:val="24"/>
          <w:highlight w:val="none"/>
        </w:rPr>
        <w:t>查人员资格报市住建局质安科审定后方可进行。并满足国家相关标准、行业标准、地方标准及采购人管理标准。</w:t>
      </w:r>
    </w:p>
    <w:p w14:paraId="085262F6">
      <w:pPr>
        <w:keepNext w:val="0"/>
        <w:keepLines w:val="0"/>
        <w:pageBreakBefore w:val="0"/>
        <w:wordWrap/>
        <w:overflowPunct/>
        <w:topLinePunct w:val="0"/>
        <w:bidi w:val="0"/>
        <w:spacing w:line="360" w:lineRule="auto"/>
        <w:ind w:left="0" w:right="0"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1、工程项目质量安全巡查结果和报告符合有关规定，通过市住房城乡建设局组织验收。</w:t>
      </w:r>
    </w:p>
    <w:p w14:paraId="219550A8">
      <w:pPr>
        <w:keepNext w:val="0"/>
        <w:keepLines w:val="0"/>
        <w:pageBreakBefore w:val="0"/>
        <w:wordWrap/>
        <w:overflowPunct/>
        <w:topLinePunct w:val="0"/>
        <w:bidi w:val="0"/>
        <w:spacing w:line="360" w:lineRule="auto"/>
        <w:ind w:left="0" w:right="0"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2、巡查过程中应定期提交书面形式的阶段性巡查报告，一式三份，并附相关影像资料（电子版）和检查表格（电子版和纸质版）。</w:t>
      </w:r>
    </w:p>
    <w:p w14:paraId="6B326A7F">
      <w:pPr>
        <w:keepNext w:val="0"/>
        <w:keepLines w:val="0"/>
        <w:pageBreakBefore w:val="0"/>
        <w:wordWrap/>
        <w:overflowPunct/>
        <w:topLinePunct w:val="0"/>
        <w:bidi w:val="0"/>
        <w:spacing w:line="360" w:lineRule="auto"/>
        <w:ind w:left="0" w:right="0"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3、最终成果需提交书面形式的巡查工作报告，一式三份，并附相关影像资料（电子版）、检查表格（电子版和纸质版）的汇总成果。</w:t>
      </w:r>
    </w:p>
    <w:p w14:paraId="0FB3FDF8">
      <w:pPr>
        <w:keepNext w:val="0"/>
        <w:keepLines w:val="0"/>
        <w:pageBreakBefore w:val="0"/>
        <w:wordWrap/>
        <w:overflowPunct/>
        <w:topLinePunct w:val="0"/>
        <w:bidi w:val="0"/>
        <w:spacing w:line="360" w:lineRule="auto"/>
        <w:ind w:left="0" w:right="0" w:firstLine="476" w:firstLineChars="200"/>
        <w:rPr>
          <w:rFonts w:hint="eastAsia" w:ascii="宋体" w:hAnsi="宋体" w:eastAsia="宋体" w:cs="宋体"/>
          <w:sz w:val="24"/>
          <w:szCs w:val="24"/>
          <w:highlight w:val="none"/>
        </w:rPr>
      </w:pPr>
      <w:r>
        <w:rPr>
          <w:rFonts w:hint="eastAsia" w:ascii="宋体" w:hAnsi="宋体" w:eastAsia="宋体" w:cs="宋体"/>
          <w:b/>
          <w:bCs/>
          <w:spacing w:val="-1"/>
          <w:sz w:val="24"/>
          <w:szCs w:val="24"/>
          <w:highlight w:val="none"/>
          <w:lang w:eastAsia="zh-CN"/>
        </w:rPr>
        <w:t>（</w:t>
      </w:r>
      <w:r>
        <w:rPr>
          <w:rFonts w:hint="eastAsia" w:ascii="宋体" w:hAnsi="宋体" w:eastAsia="宋体" w:cs="宋体"/>
          <w:b/>
          <w:bCs/>
          <w:spacing w:val="-1"/>
          <w:sz w:val="24"/>
          <w:szCs w:val="24"/>
          <w:highlight w:val="none"/>
          <w:lang w:val="en-US" w:eastAsia="zh-CN"/>
        </w:rPr>
        <w:t>八</w:t>
      </w:r>
      <w:r>
        <w:rPr>
          <w:rFonts w:hint="eastAsia" w:ascii="宋体" w:hAnsi="宋体" w:eastAsia="宋体" w:cs="宋体"/>
          <w:b/>
          <w:bCs/>
          <w:spacing w:val="-1"/>
          <w:sz w:val="24"/>
          <w:szCs w:val="24"/>
          <w:highlight w:val="none"/>
          <w:lang w:eastAsia="zh-CN"/>
        </w:rPr>
        <w:t>）</w:t>
      </w:r>
      <w:r>
        <w:rPr>
          <w:rFonts w:hint="eastAsia" w:ascii="宋体" w:hAnsi="宋体" w:eastAsia="宋体" w:cs="宋体"/>
          <w:b/>
          <w:bCs/>
          <w:spacing w:val="-1"/>
          <w:sz w:val="24"/>
          <w:szCs w:val="24"/>
          <w:highlight w:val="none"/>
        </w:rPr>
        <w:t>.项目售后服务标准及验收标准</w:t>
      </w:r>
    </w:p>
    <w:p w14:paraId="21550406">
      <w:pPr>
        <w:keepNext w:val="0"/>
        <w:keepLines w:val="0"/>
        <w:pageBreakBefore w:val="0"/>
        <w:wordWrap/>
        <w:overflowPunct/>
        <w:topLinePunct w:val="0"/>
        <w:bidi w:val="0"/>
        <w:spacing w:line="360" w:lineRule="auto"/>
        <w:ind w:left="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符合国家及行业相关验收标准及采购人要求的标准。</w:t>
      </w:r>
    </w:p>
    <w:p w14:paraId="5D8D2C9B">
      <w:pPr>
        <w:keepNext w:val="0"/>
        <w:keepLines w:val="0"/>
        <w:pageBreakBefore w:val="0"/>
        <w:wordWrap/>
        <w:overflowPunct/>
        <w:topLinePunct w:val="0"/>
        <w:bidi w:val="0"/>
        <w:spacing w:line="360" w:lineRule="auto"/>
        <w:ind w:left="0" w:right="0" w:firstLine="472" w:firstLineChars="200"/>
        <w:rPr>
          <w:rFonts w:hint="eastAsia" w:ascii="宋体" w:hAnsi="宋体" w:eastAsia="宋体" w:cs="宋体"/>
          <w:sz w:val="24"/>
          <w:szCs w:val="24"/>
          <w:highlight w:val="none"/>
        </w:rPr>
      </w:pPr>
      <w:r>
        <w:rPr>
          <w:rFonts w:hint="eastAsia" w:ascii="宋体" w:hAnsi="宋体" w:eastAsia="宋体" w:cs="宋体"/>
          <w:b/>
          <w:bCs/>
          <w:spacing w:val="-2"/>
          <w:sz w:val="24"/>
          <w:szCs w:val="24"/>
          <w:highlight w:val="none"/>
          <w:lang w:eastAsia="zh-CN"/>
        </w:rPr>
        <w:t>（</w:t>
      </w:r>
      <w:r>
        <w:rPr>
          <w:rFonts w:hint="eastAsia" w:ascii="宋体" w:hAnsi="宋体" w:eastAsia="宋体" w:cs="宋体"/>
          <w:b/>
          <w:bCs/>
          <w:spacing w:val="-2"/>
          <w:sz w:val="24"/>
          <w:szCs w:val="24"/>
          <w:highlight w:val="none"/>
          <w:lang w:val="en-US" w:eastAsia="zh-CN"/>
        </w:rPr>
        <w:t>九</w:t>
      </w:r>
      <w:r>
        <w:rPr>
          <w:rFonts w:hint="eastAsia" w:ascii="宋体" w:hAnsi="宋体" w:eastAsia="宋体" w:cs="宋体"/>
          <w:b/>
          <w:bCs/>
          <w:spacing w:val="-2"/>
          <w:sz w:val="24"/>
          <w:szCs w:val="24"/>
          <w:highlight w:val="none"/>
          <w:lang w:eastAsia="zh-CN"/>
        </w:rPr>
        <w:t>）</w:t>
      </w:r>
      <w:r>
        <w:rPr>
          <w:rFonts w:hint="eastAsia" w:ascii="宋体" w:hAnsi="宋体" w:eastAsia="宋体" w:cs="宋体"/>
          <w:b/>
          <w:bCs/>
          <w:spacing w:val="-2"/>
          <w:sz w:val="24"/>
          <w:szCs w:val="24"/>
          <w:highlight w:val="none"/>
        </w:rPr>
        <w:t>.其他技术及服务要求</w:t>
      </w:r>
    </w:p>
    <w:p w14:paraId="5578EDE1">
      <w:pPr>
        <w:keepNext w:val="0"/>
        <w:keepLines w:val="0"/>
        <w:pageBreakBefore w:val="0"/>
        <w:wordWrap/>
        <w:overflowPunct/>
        <w:topLinePunct w:val="0"/>
        <w:bidi w:val="0"/>
        <w:spacing w:line="360" w:lineRule="auto"/>
        <w:ind w:left="0" w:right="0"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1、检查中发现重大质量问题或安全隐患，应及时如实上报主管部门；</w:t>
      </w:r>
    </w:p>
    <w:p w14:paraId="3058DCD7">
      <w:pPr>
        <w:keepNext w:val="0"/>
        <w:keepLines w:val="0"/>
        <w:pageBreakBefore w:val="0"/>
        <w:wordWrap/>
        <w:overflowPunct/>
        <w:topLinePunct w:val="0"/>
        <w:bidi w:val="0"/>
        <w:spacing w:line="360" w:lineRule="auto"/>
        <w:ind w:left="0" w:right="0"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2、中标后，中标供应商应提供详细实施细则，经采购单位认可后实施</w:t>
      </w:r>
      <w:r>
        <w:rPr>
          <w:rFonts w:hint="eastAsia" w:ascii="宋体" w:hAnsi="宋体" w:eastAsia="宋体" w:cs="宋体"/>
          <w:sz w:val="24"/>
          <w:szCs w:val="24"/>
          <w:highlight w:val="none"/>
          <w:lang w:eastAsia="zh-CN"/>
        </w:rPr>
        <w:t>；</w:t>
      </w:r>
    </w:p>
    <w:p w14:paraId="1AF291DB">
      <w:pPr>
        <w:keepNext w:val="0"/>
        <w:keepLines w:val="0"/>
        <w:pageBreakBefore w:val="0"/>
        <w:wordWrap/>
        <w:overflowPunct/>
        <w:topLinePunct w:val="0"/>
        <w:bidi w:val="0"/>
        <w:spacing w:line="360" w:lineRule="auto"/>
        <w:ind w:left="0" w:right="0" w:firstLine="480" w:firstLineChars="200"/>
        <w:rPr>
          <w:highlight w:val="none"/>
        </w:rPr>
      </w:pPr>
      <w:r>
        <w:rPr>
          <w:rFonts w:hint="eastAsia" w:ascii="宋体" w:hAnsi="宋体" w:eastAsia="宋体" w:cs="宋体"/>
          <w:sz w:val="24"/>
          <w:szCs w:val="24"/>
          <w:highlight w:val="none"/>
          <w:lang w:val="en-US" w:eastAsia="zh-CN"/>
        </w:rPr>
        <w:t>3、每年组织不少于3次的质量安全生产相关培训，内容包括但不限于：危大工程管控、重大事故隐患判定标准、施工现场安全环节管控、安全生产常用法律法规（条例）解读、典型案例（事故）分析及其他专项行动涉及内容培训。</w:t>
      </w:r>
    </w:p>
    <w:p w14:paraId="3D3F35AA">
      <w:pPr>
        <w:rPr>
          <w:rFonts w:hint="eastAsia"/>
          <w:highlight w:val="none"/>
        </w:rPr>
      </w:pPr>
      <w:r>
        <w:rPr>
          <w:rFonts w:hint="eastAsia"/>
          <w:highlight w:val="none"/>
        </w:rPr>
        <w:br w:type="page"/>
      </w:r>
    </w:p>
    <w:p w14:paraId="41BC51E0">
      <w:pPr>
        <w:pStyle w:val="2"/>
        <w:tabs>
          <w:tab w:val="left" w:pos="0"/>
        </w:tabs>
        <w:spacing w:line="240" w:lineRule="atLeast"/>
        <w:ind w:firstLine="2200" w:firstLineChars="500"/>
        <w:jc w:val="both"/>
        <w:rPr>
          <w:rFonts w:hint="eastAsia"/>
          <w:highlight w:val="none"/>
        </w:rPr>
      </w:pPr>
      <w:bookmarkStart w:id="577" w:name="_Toc28498"/>
      <w:r>
        <w:rPr>
          <w:rFonts w:hint="eastAsia"/>
          <w:highlight w:val="none"/>
        </w:rPr>
        <w:t>第5章</w:t>
      </w:r>
      <w:bookmarkStart w:id="578" w:name="_Toc7971"/>
      <w:bookmarkStart w:id="579" w:name="_Toc507399907"/>
      <w:bookmarkStart w:id="580" w:name="_Toc515647832"/>
      <w:bookmarkStart w:id="581" w:name="_Toc4766816"/>
      <w:bookmarkStart w:id="582" w:name="_Toc32647"/>
      <w:r>
        <w:rPr>
          <w:rFonts w:hint="eastAsia"/>
          <w:highlight w:val="none"/>
        </w:rPr>
        <w:t xml:space="preserve"> 评审方法和标准</w:t>
      </w:r>
      <w:bookmarkEnd w:id="570"/>
      <w:bookmarkEnd w:id="571"/>
      <w:bookmarkEnd w:id="572"/>
      <w:bookmarkEnd w:id="573"/>
      <w:bookmarkEnd w:id="574"/>
      <w:bookmarkEnd w:id="575"/>
      <w:bookmarkEnd w:id="576"/>
      <w:bookmarkEnd w:id="577"/>
      <w:bookmarkEnd w:id="578"/>
      <w:bookmarkEnd w:id="579"/>
      <w:bookmarkEnd w:id="580"/>
      <w:bookmarkEnd w:id="581"/>
      <w:bookmarkEnd w:id="582"/>
    </w:p>
    <w:p w14:paraId="276C6963">
      <w:pPr>
        <w:spacing w:line="312" w:lineRule="auto"/>
        <w:ind w:firstLine="480" w:firstLineChars="200"/>
        <w:jc w:val="both"/>
        <w:rPr>
          <w:rFonts w:hint="eastAsia"/>
          <w:highlight w:val="none"/>
        </w:rPr>
      </w:pPr>
    </w:p>
    <w:p w14:paraId="709DCA33">
      <w:pPr>
        <w:spacing w:line="480" w:lineRule="auto"/>
        <w:ind w:firstLine="480" w:firstLineChars="200"/>
        <w:jc w:val="both"/>
        <w:rPr>
          <w:rFonts w:hint="eastAsia"/>
          <w:highlight w:val="none"/>
        </w:rPr>
      </w:pPr>
      <w:r>
        <w:rPr>
          <w:rFonts w:hint="eastAsia"/>
          <w:highlight w:val="none"/>
        </w:rPr>
        <w:t>本项目将按照竞争性磋商文件第一章供应商须知及本章的规定评审。</w:t>
      </w:r>
    </w:p>
    <w:p w14:paraId="7062FFD5">
      <w:pPr>
        <w:spacing w:line="480" w:lineRule="auto"/>
        <w:ind w:firstLine="480" w:firstLineChars="200"/>
        <w:outlineLvl w:val="1"/>
        <w:rPr>
          <w:rFonts w:hint="eastAsia"/>
          <w:b/>
          <w:bCs/>
          <w:highlight w:val="none"/>
        </w:rPr>
      </w:pPr>
      <w:bookmarkStart w:id="583" w:name="_Toc15059"/>
      <w:bookmarkStart w:id="584" w:name="_Toc13934"/>
      <w:bookmarkStart w:id="585" w:name="_Toc7044"/>
      <w:bookmarkStart w:id="586" w:name="_Toc25732"/>
      <w:bookmarkStart w:id="587" w:name="_Toc2634"/>
      <w:bookmarkStart w:id="588" w:name="_Toc8627"/>
      <w:bookmarkStart w:id="589" w:name="_Toc29265"/>
      <w:bookmarkStart w:id="590" w:name="_Toc20474"/>
      <w:bookmarkStart w:id="591" w:name="_Toc25930"/>
      <w:r>
        <w:rPr>
          <w:rFonts w:hint="eastAsia"/>
          <w:b/>
          <w:bCs/>
          <w:highlight w:val="none"/>
        </w:rPr>
        <w:t>一、评审方法</w:t>
      </w:r>
      <w:bookmarkEnd w:id="583"/>
      <w:bookmarkEnd w:id="584"/>
      <w:bookmarkEnd w:id="585"/>
      <w:bookmarkEnd w:id="586"/>
      <w:bookmarkEnd w:id="587"/>
      <w:bookmarkEnd w:id="588"/>
      <w:bookmarkEnd w:id="589"/>
      <w:bookmarkEnd w:id="590"/>
      <w:bookmarkEnd w:id="591"/>
    </w:p>
    <w:p w14:paraId="20FD9195">
      <w:pPr>
        <w:spacing w:line="480" w:lineRule="auto"/>
        <w:ind w:firstLine="480" w:firstLineChars="200"/>
        <w:rPr>
          <w:rFonts w:hint="eastAsia"/>
          <w:highlight w:val="none"/>
        </w:rPr>
      </w:pPr>
      <w:bookmarkStart w:id="592" w:name="percentDesc"/>
      <w:bookmarkEnd w:id="592"/>
      <w:r>
        <w:rPr>
          <w:rFonts w:hint="eastAsia"/>
          <w:highlight w:val="none"/>
        </w:rPr>
        <w:t>综合评分法：是指响应文件满足竞争性磋商文件全部要求，且按照评审因素的量化指标评审得分最高的供应商为成交候选供应商的评审方法。</w:t>
      </w:r>
    </w:p>
    <w:p w14:paraId="3AC6B6B4">
      <w:pPr>
        <w:numPr>
          <w:ilvl w:val="0"/>
          <w:numId w:val="3"/>
        </w:numPr>
        <w:spacing w:line="480" w:lineRule="auto"/>
        <w:ind w:firstLine="480" w:firstLineChars="200"/>
        <w:outlineLvl w:val="1"/>
        <w:rPr>
          <w:rFonts w:hint="eastAsia"/>
          <w:b/>
          <w:bCs/>
          <w:kern w:val="0"/>
          <w:sz w:val="28"/>
          <w:highlight w:val="none"/>
        </w:rPr>
      </w:pPr>
      <w:bookmarkStart w:id="593" w:name="_Toc2450"/>
      <w:bookmarkStart w:id="594" w:name="_Toc16087"/>
      <w:bookmarkStart w:id="595" w:name="_Toc1975"/>
      <w:bookmarkStart w:id="596" w:name="_Toc5495"/>
      <w:bookmarkStart w:id="597" w:name="_Toc22584"/>
      <w:bookmarkStart w:id="598" w:name="_Toc21819"/>
      <w:bookmarkStart w:id="599" w:name="_Toc18767"/>
      <w:bookmarkStart w:id="600" w:name="_Toc25652"/>
      <w:bookmarkStart w:id="601" w:name="_Toc17853"/>
      <w:r>
        <w:rPr>
          <w:rFonts w:hint="eastAsia"/>
          <w:b/>
          <w:bCs/>
          <w:highlight w:val="none"/>
        </w:rPr>
        <w:t>评审标准</w:t>
      </w:r>
      <w:bookmarkEnd w:id="593"/>
      <w:bookmarkEnd w:id="594"/>
      <w:bookmarkEnd w:id="595"/>
      <w:bookmarkEnd w:id="596"/>
      <w:bookmarkEnd w:id="597"/>
      <w:bookmarkEnd w:id="598"/>
      <w:bookmarkEnd w:id="599"/>
      <w:bookmarkEnd w:id="600"/>
      <w:bookmarkEnd w:id="601"/>
      <w:bookmarkStart w:id="602" w:name="_Toc45562497"/>
      <w:bookmarkStart w:id="603" w:name="_Toc46238261"/>
      <w:bookmarkStart w:id="604" w:name="_Toc1082"/>
      <w:bookmarkStart w:id="605" w:name="_Toc26020"/>
      <w:bookmarkStart w:id="606" w:name="_Toc46136844"/>
      <w:bookmarkStart w:id="607" w:name="_Toc28573"/>
      <w:bookmarkStart w:id="608" w:name="_Toc30788"/>
    </w:p>
    <w:p w14:paraId="745BEC5B">
      <w:pPr>
        <w:spacing w:line="312" w:lineRule="auto"/>
        <w:jc w:val="center"/>
        <w:outlineLvl w:val="1"/>
        <w:rPr>
          <w:rFonts w:hint="eastAsia"/>
          <w:b/>
          <w:bCs/>
          <w:kern w:val="0"/>
          <w:sz w:val="28"/>
          <w:highlight w:val="none"/>
        </w:rPr>
      </w:pPr>
      <w:bookmarkStart w:id="609" w:name="_Toc6188"/>
      <w:bookmarkStart w:id="610" w:name="_Toc21374"/>
      <w:bookmarkStart w:id="611" w:name="_Toc31370"/>
      <w:bookmarkStart w:id="612" w:name="_Toc30612"/>
      <w:bookmarkStart w:id="613" w:name="_Toc25924"/>
      <w:bookmarkStart w:id="614" w:name="_Toc13864"/>
      <w:r>
        <w:rPr>
          <w:rFonts w:hint="eastAsia"/>
          <w:b/>
          <w:bCs/>
          <w:kern w:val="0"/>
          <w:sz w:val="28"/>
          <w:highlight w:val="none"/>
        </w:rPr>
        <w:t>（一）初步评审</w:t>
      </w:r>
      <w:bookmarkEnd w:id="602"/>
      <w:bookmarkEnd w:id="603"/>
      <w:bookmarkEnd w:id="604"/>
      <w:bookmarkEnd w:id="605"/>
      <w:bookmarkEnd w:id="606"/>
      <w:bookmarkEnd w:id="607"/>
      <w:bookmarkEnd w:id="608"/>
      <w:bookmarkEnd w:id="609"/>
      <w:bookmarkEnd w:id="610"/>
      <w:bookmarkEnd w:id="611"/>
      <w:bookmarkEnd w:id="612"/>
      <w:bookmarkEnd w:id="613"/>
      <w:bookmarkEnd w:id="614"/>
    </w:p>
    <w:tbl>
      <w:tblPr>
        <w:tblStyle w:val="30"/>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0"/>
        <w:gridCol w:w="613"/>
        <w:gridCol w:w="1639"/>
        <w:gridCol w:w="6496"/>
      </w:tblGrid>
      <w:tr w14:paraId="2E10E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90" w:type="dxa"/>
            <w:vAlign w:val="center"/>
          </w:tcPr>
          <w:p w14:paraId="05875E84">
            <w:pPr>
              <w:spacing w:before="156" w:beforeLines="50" w:after="156" w:afterLines="50" w:line="240" w:lineRule="auto"/>
              <w:jc w:val="center"/>
              <w:rPr>
                <w:rFonts w:hint="eastAsia"/>
                <w:b/>
                <w:bCs/>
                <w:highlight w:val="none"/>
              </w:rPr>
            </w:pPr>
            <w:r>
              <w:rPr>
                <w:rFonts w:hint="eastAsia"/>
                <w:b/>
                <w:bCs/>
                <w:highlight w:val="none"/>
                <w:lang w:eastAsia="en-US"/>
              </w:rPr>
              <w:t>评审方式</w:t>
            </w:r>
          </w:p>
        </w:tc>
        <w:tc>
          <w:tcPr>
            <w:tcW w:w="613" w:type="dxa"/>
            <w:vAlign w:val="center"/>
          </w:tcPr>
          <w:p w14:paraId="3541A061">
            <w:pPr>
              <w:spacing w:before="156" w:beforeLines="50" w:after="156" w:afterLines="50" w:line="240" w:lineRule="auto"/>
              <w:jc w:val="center"/>
              <w:rPr>
                <w:rFonts w:hint="eastAsia"/>
                <w:b/>
                <w:bCs/>
                <w:highlight w:val="none"/>
              </w:rPr>
            </w:pPr>
            <w:r>
              <w:rPr>
                <w:rFonts w:hint="eastAsia"/>
                <w:b/>
                <w:bCs/>
                <w:highlight w:val="none"/>
                <w:lang w:eastAsia="en-US"/>
              </w:rPr>
              <w:t>序号</w:t>
            </w:r>
          </w:p>
        </w:tc>
        <w:tc>
          <w:tcPr>
            <w:tcW w:w="1639" w:type="dxa"/>
            <w:vAlign w:val="center"/>
          </w:tcPr>
          <w:p w14:paraId="31B28C72">
            <w:pPr>
              <w:spacing w:before="156" w:beforeLines="50" w:after="156" w:afterLines="50" w:line="240" w:lineRule="auto"/>
              <w:jc w:val="center"/>
              <w:rPr>
                <w:rFonts w:hint="eastAsia"/>
                <w:b/>
                <w:bCs/>
                <w:highlight w:val="none"/>
              </w:rPr>
            </w:pPr>
            <w:r>
              <w:rPr>
                <w:rFonts w:hint="eastAsia"/>
                <w:b/>
                <w:bCs/>
                <w:highlight w:val="none"/>
                <w:lang w:eastAsia="en-US"/>
              </w:rPr>
              <w:t>评审因素</w:t>
            </w:r>
          </w:p>
        </w:tc>
        <w:tc>
          <w:tcPr>
            <w:tcW w:w="6496" w:type="dxa"/>
            <w:vAlign w:val="center"/>
          </w:tcPr>
          <w:p w14:paraId="29C2B7C6">
            <w:pPr>
              <w:spacing w:before="156" w:beforeLines="50" w:after="156" w:afterLines="50" w:line="240" w:lineRule="auto"/>
              <w:jc w:val="center"/>
              <w:rPr>
                <w:rFonts w:hint="eastAsia"/>
                <w:b/>
                <w:bCs/>
                <w:highlight w:val="none"/>
              </w:rPr>
            </w:pPr>
            <w:r>
              <w:rPr>
                <w:rFonts w:hint="eastAsia"/>
                <w:b/>
                <w:bCs/>
                <w:highlight w:val="none"/>
              </w:rPr>
              <w:t>评审标准</w:t>
            </w:r>
          </w:p>
        </w:tc>
      </w:tr>
      <w:tr w14:paraId="68AF8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890" w:type="dxa"/>
            <w:vMerge w:val="restart"/>
            <w:vAlign w:val="center"/>
          </w:tcPr>
          <w:p w14:paraId="5AD09456">
            <w:pPr>
              <w:spacing w:before="156" w:beforeLines="50" w:after="156" w:afterLines="50" w:line="240" w:lineRule="auto"/>
              <w:jc w:val="center"/>
              <w:rPr>
                <w:rFonts w:hint="eastAsia"/>
                <w:highlight w:val="none"/>
              </w:rPr>
            </w:pPr>
            <w:r>
              <w:rPr>
                <w:rFonts w:hint="eastAsia"/>
                <w:highlight w:val="none"/>
              </w:rPr>
              <w:t>资格审查</w:t>
            </w:r>
          </w:p>
        </w:tc>
        <w:tc>
          <w:tcPr>
            <w:tcW w:w="613" w:type="dxa"/>
            <w:vAlign w:val="center"/>
          </w:tcPr>
          <w:p w14:paraId="0ED78727">
            <w:pPr>
              <w:spacing w:before="156" w:beforeLines="50" w:after="156" w:afterLines="50" w:line="240" w:lineRule="auto"/>
              <w:jc w:val="center"/>
              <w:rPr>
                <w:rFonts w:hint="eastAsia"/>
                <w:highlight w:val="none"/>
              </w:rPr>
            </w:pPr>
            <w:r>
              <w:rPr>
                <w:rFonts w:hint="eastAsia"/>
                <w:highlight w:val="none"/>
              </w:rPr>
              <w:t>1</w:t>
            </w:r>
          </w:p>
        </w:tc>
        <w:tc>
          <w:tcPr>
            <w:tcW w:w="1639" w:type="dxa"/>
            <w:vAlign w:val="center"/>
          </w:tcPr>
          <w:p w14:paraId="7D68A9D2">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jc w:val="center"/>
              <w:textAlignment w:val="auto"/>
              <w:rPr>
                <w:rFonts w:hint="eastAsia"/>
                <w:highlight w:val="none"/>
              </w:rPr>
            </w:pPr>
            <w:r>
              <w:rPr>
                <w:rFonts w:hint="eastAsia"/>
                <w:highlight w:val="none"/>
              </w:rPr>
              <w:t>供应商资格信用承诺函</w:t>
            </w:r>
          </w:p>
        </w:tc>
        <w:tc>
          <w:tcPr>
            <w:tcW w:w="6496" w:type="dxa"/>
            <w:vAlign w:val="center"/>
          </w:tcPr>
          <w:p w14:paraId="3347E882">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highlight w:val="none"/>
              </w:rPr>
            </w:pPr>
            <w:r>
              <w:rPr>
                <w:rFonts w:hint="eastAsia"/>
                <w:highlight w:val="none"/>
              </w:rPr>
              <w:t>菏泽市政府采购供应商资格信用承诺函</w:t>
            </w:r>
          </w:p>
        </w:tc>
      </w:tr>
      <w:tr w14:paraId="497DA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890" w:type="dxa"/>
            <w:vMerge w:val="continue"/>
            <w:vAlign w:val="center"/>
          </w:tcPr>
          <w:p w14:paraId="313E0879">
            <w:pPr>
              <w:spacing w:before="156" w:beforeLines="50" w:after="156" w:afterLines="50" w:line="240" w:lineRule="auto"/>
              <w:jc w:val="center"/>
              <w:rPr>
                <w:rFonts w:hint="eastAsia"/>
                <w:highlight w:val="none"/>
              </w:rPr>
            </w:pPr>
          </w:p>
        </w:tc>
        <w:tc>
          <w:tcPr>
            <w:tcW w:w="613" w:type="dxa"/>
            <w:vAlign w:val="center"/>
          </w:tcPr>
          <w:p w14:paraId="5A4F7BB1">
            <w:pPr>
              <w:spacing w:before="156" w:beforeLines="50" w:after="156" w:afterLines="50" w:line="240" w:lineRule="auto"/>
              <w:jc w:val="center"/>
              <w:rPr>
                <w:rFonts w:hint="eastAsia" w:eastAsia="宋体"/>
                <w:highlight w:val="none"/>
                <w:lang w:val="en-US" w:eastAsia="zh-CN"/>
              </w:rPr>
            </w:pPr>
            <w:r>
              <w:rPr>
                <w:rFonts w:hint="eastAsia"/>
                <w:highlight w:val="none"/>
                <w:lang w:val="en-US" w:eastAsia="zh-CN"/>
              </w:rPr>
              <w:t>2</w:t>
            </w:r>
          </w:p>
        </w:tc>
        <w:tc>
          <w:tcPr>
            <w:tcW w:w="1639" w:type="dxa"/>
            <w:vAlign w:val="center"/>
          </w:tcPr>
          <w:p w14:paraId="20C526B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highlight w:val="none"/>
              </w:rPr>
            </w:pPr>
            <w:r>
              <w:rPr>
                <w:rFonts w:hint="eastAsia" w:ascii="宋体" w:hAnsi="宋体" w:eastAsia="宋体" w:cs="宋体"/>
                <w:highlight w:val="none"/>
              </w:rPr>
              <w:t>重大违法记录</w:t>
            </w:r>
          </w:p>
        </w:tc>
        <w:tc>
          <w:tcPr>
            <w:tcW w:w="6496" w:type="dxa"/>
            <w:vAlign w:val="center"/>
          </w:tcPr>
          <w:p w14:paraId="7F4554AC">
            <w:pPr>
              <w:keepNext w:val="0"/>
              <w:keepLines w:val="0"/>
              <w:pageBreakBefore w:val="0"/>
              <w:widowControl w:val="0"/>
              <w:kinsoku/>
              <w:wordWrap/>
              <w:overflowPunct/>
              <w:topLinePunct w:val="0"/>
              <w:autoSpaceDE/>
              <w:autoSpaceDN/>
              <w:bidi w:val="0"/>
              <w:adjustRightInd/>
              <w:snapToGrid/>
              <w:spacing w:before="63" w:beforeLines="20" w:after="63" w:afterLines="20" w:line="240" w:lineRule="auto"/>
              <w:textAlignment w:val="auto"/>
              <w:rPr>
                <w:rFonts w:hint="eastAsia"/>
                <w:highlight w:val="none"/>
              </w:rPr>
            </w:pPr>
            <w:r>
              <w:rPr>
                <w:rFonts w:hint="eastAsia" w:ascii="宋体" w:hAnsi="宋体" w:eastAsia="宋体" w:cs="宋体"/>
                <w:kern w:val="2"/>
                <w:highlight w:val="none"/>
                <w:lang w:val="en-US" w:eastAsia="zh-CN"/>
              </w:rPr>
              <w:t>参加本次政府采购活动前三年内（成立不足三年的自成立之日起），在经营活动中没有重大违法记录</w:t>
            </w:r>
          </w:p>
        </w:tc>
      </w:tr>
      <w:tr w14:paraId="14F9F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1" w:hRule="exact"/>
          <w:jc w:val="center"/>
        </w:trPr>
        <w:tc>
          <w:tcPr>
            <w:tcW w:w="890" w:type="dxa"/>
            <w:vMerge w:val="continue"/>
            <w:vAlign w:val="center"/>
          </w:tcPr>
          <w:p w14:paraId="090ED70D">
            <w:pPr>
              <w:spacing w:before="156" w:beforeLines="50" w:after="156" w:afterLines="50" w:line="240" w:lineRule="auto"/>
              <w:jc w:val="center"/>
              <w:rPr>
                <w:rFonts w:hint="eastAsia"/>
                <w:highlight w:val="none"/>
              </w:rPr>
            </w:pPr>
          </w:p>
        </w:tc>
        <w:tc>
          <w:tcPr>
            <w:tcW w:w="613" w:type="dxa"/>
            <w:vAlign w:val="center"/>
          </w:tcPr>
          <w:p w14:paraId="0BB19157">
            <w:pPr>
              <w:spacing w:before="156" w:beforeLines="50" w:after="156" w:afterLines="50" w:line="240" w:lineRule="auto"/>
              <w:jc w:val="center"/>
              <w:rPr>
                <w:rFonts w:hint="eastAsia" w:eastAsia="宋体"/>
                <w:highlight w:val="none"/>
                <w:lang w:val="en-US" w:eastAsia="zh-CN"/>
              </w:rPr>
            </w:pPr>
            <w:r>
              <w:rPr>
                <w:rFonts w:hint="eastAsia"/>
                <w:highlight w:val="none"/>
                <w:lang w:val="en-US" w:eastAsia="zh-CN"/>
              </w:rPr>
              <w:t>3</w:t>
            </w:r>
          </w:p>
        </w:tc>
        <w:tc>
          <w:tcPr>
            <w:tcW w:w="1639" w:type="dxa"/>
            <w:vAlign w:val="center"/>
          </w:tcPr>
          <w:p w14:paraId="7A17026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highlight w:val="none"/>
                <w:lang w:val="en-US"/>
              </w:rPr>
            </w:pPr>
            <w:r>
              <w:rPr>
                <w:rFonts w:hint="eastAsia" w:cs="宋体"/>
                <w:highlight w:val="none"/>
                <w:lang w:val="en-US" w:eastAsia="zh-CN"/>
              </w:rPr>
              <w:t>项目负责人及安全检查人员</w:t>
            </w:r>
          </w:p>
        </w:tc>
        <w:tc>
          <w:tcPr>
            <w:tcW w:w="6496" w:type="dxa"/>
            <w:vAlign w:val="center"/>
          </w:tcPr>
          <w:p w14:paraId="47E690AA">
            <w:pPr>
              <w:keepNext w:val="0"/>
              <w:keepLines w:val="0"/>
              <w:pageBreakBefore w:val="0"/>
              <w:widowControl w:val="0"/>
              <w:kinsoku/>
              <w:wordWrap/>
              <w:overflowPunct/>
              <w:topLinePunct w:val="0"/>
              <w:autoSpaceDE/>
              <w:autoSpaceDN/>
              <w:bidi w:val="0"/>
              <w:adjustRightInd/>
              <w:snapToGrid/>
              <w:spacing w:before="63" w:beforeLines="20" w:after="63" w:afterLines="20" w:line="240" w:lineRule="auto"/>
              <w:textAlignment w:val="auto"/>
              <w:rPr>
                <w:rFonts w:hint="eastAsia" w:eastAsia="宋体"/>
                <w:highlight w:val="none"/>
                <w:lang w:eastAsia="zh-CN"/>
              </w:rPr>
            </w:pPr>
            <w:r>
              <w:rPr>
                <w:rFonts w:hint="eastAsia" w:ascii="宋体" w:hAnsi="宋体" w:eastAsia="宋体" w:cs="宋体"/>
                <w:snapToGrid/>
                <w:color w:val="auto"/>
                <w:kern w:val="2"/>
                <w:sz w:val="24"/>
                <w:szCs w:val="24"/>
                <w:highlight w:val="none"/>
                <w:lang w:eastAsia="zh-CN"/>
              </w:rPr>
              <w:t>拟派项目负责人须具有高级工程师职称（工程相关专业）并具有注册一级建造师（建筑工程相关专业）或注册监理师（建筑工程相关专业）资格；并提供近三个月的社保证明</w:t>
            </w:r>
            <w:r>
              <w:rPr>
                <w:rFonts w:hint="eastAsia" w:cs="宋体"/>
                <w:snapToGrid/>
                <w:color w:val="auto"/>
                <w:kern w:val="2"/>
                <w:sz w:val="24"/>
                <w:szCs w:val="24"/>
                <w:highlight w:val="none"/>
                <w:lang w:eastAsia="zh-CN"/>
              </w:rPr>
              <w:t>。</w:t>
            </w:r>
            <w:r>
              <w:rPr>
                <w:rFonts w:hint="eastAsia" w:cs="宋体"/>
                <w:snapToGrid/>
                <w:color w:val="auto"/>
                <w:kern w:val="2"/>
                <w:sz w:val="24"/>
                <w:szCs w:val="24"/>
                <w:highlight w:val="none"/>
                <w:lang w:val="en-US" w:eastAsia="zh-CN"/>
              </w:rPr>
              <w:t>拟派</w:t>
            </w:r>
            <w:r>
              <w:rPr>
                <w:rFonts w:hint="eastAsia" w:ascii="宋体" w:hAnsi="宋体" w:eastAsia="宋体" w:cs="宋体"/>
                <w:color w:val="auto"/>
                <w:sz w:val="24"/>
                <w:szCs w:val="24"/>
                <w:highlight w:val="none"/>
              </w:rPr>
              <w:t>安全检查人员</w:t>
            </w:r>
            <w:r>
              <w:rPr>
                <w:rFonts w:hint="eastAsia" w:cs="宋体"/>
                <w:color w:val="auto"/>
                <w:sz w:val="24"/>
                <w:szCs w:val="24"/>
                <w:highlight w:val="none"/>
                <w:lang w:val="en-US" w:eastAsia="zh-CN"/>
              </w:rPr>
              <w:t>至少有一人</w:t>
            </w:r>
            <w:r>
              <w:rPr>
                <w:rFonts w:hint="eastAsia" w:ascii="宋体" w:hAnsi="宋体" w:eastAsia="宋体" w:cs="宋体"/>
                <w:color w:val="auto"/>
                <w:sz w:val="24"/>
                <w:szCs w:val="24"/>
                <w:highlight w:val="none"/>
              </w:rPr>
              <w:t>具有中级工程师及以上职称(工程相关专业)并具有注册一级建造师资格或注册监理师资格或注册安全工程师</w:t>
            </w:r>
            <w:r>
              <w:rPr>
                <w:rFonts w:hint="eastAsia" w:cs="宋体"/>
                <w:color w:val="auto"/>
                <w:sz w:val="24"/>
                <w:szCs w:val="24"/>
                <w:highlight w:val="none"/>
                <w:lang w:eastAsia="zh-CN"/>
              </w:rPr>
              <w:t>。</w:t>
            </w:r>
          </w:p>
        </w:tc>
      </w:tr>
      <w:tr w14:paraId="49FAE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2" w:hRule="exact"/>
          <w:jc w:val="center"/>
        </w:trPr>
        <w:tc>
          <w:tcPr>
            <w:tcW w:w="890" w:type="dxa"/>
            <w:vMerge w:val="continue"/>
            <w:vAlign w:val="center"/>
          </w:tcPr>
          <w:p w14:paraId="7E812DE3">
            <w:pPr>
              <w:spacing w:before="156" w:beforeLines="50" w:after="156" w:afterLines="50" w:line="240" w:lineRule="auto"/>
              <w:jc w:val="center"/>
              <w:rPr>
                <w:rFonts w:hint="eastAsia"/>
                <w:highlight w:val="none"/>
              </w:rPr>
            </w:pPr>
          </w:p>
        </w:tc>
        <w:tc>
          <w:tcPr>
            <w:tcW w:w="613" w:type="dxa"/>
            <w:vAlign w:val="center"/>
          </w:tcPr>
          <w:p w14:paraId="33D7E0A6">
            <w:pPr>
              <w:spacing w:before="156" w:beforeLines="50" w:after="156" w:afterLines="50" w:line="240" w:lineRule="auto"/>
              <w:jc w:val="center"/>
              <w:rPr>
                <w:rFonts w:hint="eastAsia" w:eastAsia="宋体"/>
                <w:highlight w:val="none"/>
                <w:lang w:eastAsia="zh-CN"/>
              </w:rPr>
            </w:pPr>
            <w:r>
              <w:rPr>
                <w:rFonts w:hint="eastAsia"/>
                <w:highlight w:val="none"/>
                <w:lang w:val="en-US" w:eastAsia="zh-CN"/>
              </w:rPr>
              <w:t>4</w:t>
            </w:r>
          </w:p>
        </w:tc>
        <w:tc>
          <w:tcPr>
            <w:tcW w:w="1639" w:type="dxa"/>
            <w:vAlign w:val="center"/>
          </w:tcPr>
          <w:p w14:paraId="7BD22036">
            <w:pPr>
              <w:spacing w:before="156" w:beforeLines="50" w:after="156" w:afterLines="50" w:line="240" w:lineRule="auto"/>
              <w:jc w:val="center"/>
              <w:rPr>
                <w:rFonts w:hint="eastAsia"/>
                <w:highlight w:val="none"/>
              </w:rPr>
            </w:pPr>
            <w:r>
              <w:rPr>
                <w:rFonts w:hint="eastAsia"/>
                <w:highlight w:val="none"/>
              </w:rPr>
              <w:t>证明书或授权书</w:t>
            </w:r>
          </w:p>
        </w:tc>
        <w:tc>
          <w:tcPr>
            <w:tcW w:w="6496" w:type="dxa"/>
            <w:vAlign w:val="center"/>
          </w:tcPr>
          <w:p w14:paraId="472AA4A3">
            <w:pPr>
              <w:spacing w:before="156" w:beforeLines="50" w:after="156" w:afterLines="50" w:line="240" w:lineRule="auto"/>
              <w:rPr>
                <w:rFonts w:hint="eastAsia"/>
                <w:highlight w:val="none"/>
              </w:rPr>
            </w:pPr>
            <w:r>
              <w:rPr>
                <w:rFonts w:hint="eastAsia"/>
                <w:highlight w:val="none"/>
              </w:rPr>
              <w:t>法定代表人/负责人参与的提供法定代表人/负责人身份证明书（附法定代表人/负责人身份证扫描件）；授权代表人参与的提供法定代表人/负责人授权委托书（附法定代表人/负责人、授权代表人身份证扫描件）</w:t>
            </w:r>
          </w:p>
        </w:tc>
      </w:tr>
      <w:tr w14:paraId="6019B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890" w:type="dxa"/>
            <w:vMerge w:val="continue"/>
            <w:vAlign w:val="center"/>
          </w:tcPr>
          <w:p w14:paraId="395BE69E">
            <w:pPr>
              <w:spacing w:before="156" w:beforeLines="50" w:after="156" w:afterLines="50" w:line="240" w:lineRule="auto"/>
              <w:jc w:val="center"/>
              <w:rPr>
                <w:rFonts w:hint="eastAsia"/>
                <w:highlight w:val="none"/>
              </w:rPr>
            </w:pPr>
          </w:p>
        </w:tc>
        <w:tc>
          <w:tcPr>
            <w:tcW w:w="613" w:type="dxa"/>
            <w:vAlign w:val="center"/>
          </w:tcPr>
          <w:p w14:paraId="15AB18B0">
            <w:pPr>
              <w:spacing w:before="156" w:beforeLines="50" w:after="156" w:afterLines="50" w:line="240" w:lineRule="auto"/>
              <w:jc w:val="center"/>
              <w:rPr>
                <w:rFonts w:hint="eastAsia" w:eastAsia="宋体"/>
                <w:highlight w:val="none"/>
                <w:lang w:eastAsia="zh-CN"/>
              </w:rPr>
            </w:pPr>
            <w:r>
              <w:rPr>
                <w:rFonts w:hint="eastAsia"/>
                <w:highlight w:val="none"/>
                <w:lang w:val="en-US" w:eastAsia="zh-CN"/>
              </w:rPr>
              <w:t>5</w:t>
            </w:r>
          </w:p>
        </w:tc>
        <w:tc>
          <w:tcPr>
            <w:tcW w:w="1639" w:type="dxa"/>
            <w:vAlign w:val="center"/>
          </w:tcPr>
          <w:p w14:paraId="5FDED0E2">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jc w:val="center"/>
              <w:textAlignment w:val="auto"/>
              <w:rPr>
                <w:rFonts w:hint="eastAsia"/>
                <w:highlight w:val="none"/>
              </w:rPr>
            </w:pPr>
            <w:r>
              <w:rPr>
                <w:rFonts w:hint="eastAsia"/>
                <w:highlight w:val="none"/>
              </w:rPr>
              <w:t>信用情况</w:t>
            </w:r>
          </w:p>
        </w:tc>
        <w:tc>
          <w:tcPr>
            <w:tcW w:w="6496" w:type="dxa"/>
            <w:vAlign w:val="center"/>
          </w:tcPr>
          <w:p w14:paraId="020049BE">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highlight w:val="none"/>
              </w:rPr>
            </w:pPr>
            <w:r>
              <w:rPr>
                <w:rFonts w:hint="eastAsia" w:ascii="宋体" w:hAnsi="宋体" w:eastAsia="宋体" w:cs="宋体"/>
                <w:highlight w:val="none"/>
              </w:rPr>
              <w:t>未被“信用中国”网站（www.creditchina.gov.cn)或中国政府采购网（www.ccgp.gov.cn)列入失信被执行人、重大税收违法案件当事人名单、政府采购严重违法失信行为记录名单</w:t>
            </w:r>
          </w:p>
        </w:tc>
      </w:tr>
      <w:tr w14:paraId="2AB4E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exact"/>
          <w:jc w:val="center"/>
        </w:trPr>
        <w:tc>
          <w:tcPr>
            <w:tcW w:w="890" w:type="dxa"/>
            <w:vMerge w:val="continue"/>
            <w:vAlign w:val="center"/>
          </w:tcPr>
          <w:p w14:paraId="4D3FD47E">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jc w:val="center"/>
              <w:textAlignment w:val="auto"/>
              <w:rPr>
                <w:highlight w:val="none"/>
              </w:rPr>
            </w:pPr>
          </w:p>
        </w:tc>
        <w:tc>
          <w:tcPr>
            <w:tcW w:w="613" w:type="dxa"/>
            <w:vAlign w:val="center"/>
          </w:tcPr>
          <w:p w14:paraId="317858D8">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jc w:val="center"/>
              <w:textAlignment w:val="auto"/>
              <w:rPr>
                <w:rFonts w:hint="eastAsia" w:eastAsia="宋体"/>
                <w:highlight w:val="none"/>
                <w:lang w:val="en-US" w:eastAsia="zh-CN"/>
              </w:rPr>
            </w:pPr>
            <w:r>
              <w:rPr>
                <w:rFonts w:hint="eastAsia"/>
                <w:highlight w:val="none"/>
                <w:lang w:val="en-US" w:eastAsia="zh-CN"/>
              </w:rPr>
              <w:t>6</w:t>
            </w:r>
          </w:p>
        </w:tc>
        <w:tc>
          <w:tcPr>
            <w:tcW w:w="1639" w:type="dxa"/>
            <w:vAlign w:val="center"/>
          </w:tcPr>
          <w:p w14:paraId="5E9A0CB5">
            <w:pPr>
              <w:keepNext w:val="0"/>
              <w:keepLines w:val="0"/>
              <w:suppressLineNumbers w:val="0"/>
              <w:spacing w:before="156" w:beforeLines="50" w:beforeAutospacing="0" w:after="156" w:afterLines="50" w:afterAutospacing="0" w:line="240" w:lineRule="auto"/>
              <w:ind w:left="0" w:leftChars="0" w:right="0" w:rightChars="0"/>
              <w:jc w:val="center"/>
              <w:rPr>
                <w:rFonts w:hint="eastAsia"/>
                <w:highlight w:val="none"/>
              </w:rPr>
            </w:pPr>
            <w:r>
              <w:rPr>
                <w:rFonts w:hint="eastAsia" w:ascii="宋体" w:hAnsi="宋体" w:eastAsia="宋体" w:cs="宋体"/>
                <w:sz w:val="24"/>
                <w:szCs w:val="24"/>
                <w:highlight w:val="none"/>
                <w:lang w:val="en-US" w:eastAsia="zh-CN"/>
              </w:rPr>
              <w:t>政策性规定</w:t>
            </w:r>
          </w:p>
        </w:tc>
        <w:tc>
          <w:tcPr>
            <w:tcW w:w="6496" w:type="dxa"/>
            <w:vAlign w:val="center"/>
          </w:tcPr>
          <w:p w14:paraId="7E2DDFE4">
            <w:pPr>
              <w:keepNext w:val="0"/>
              <w:keepLines w:val="0"/>
              <w:suppressLineNumbers w:val="0"/>
              <w:spacing w:before="156" w:beforeLines="50" w:beforeAutospacing="0" w:after="156" w:afterLines="50" w:afterAutospacing="0" w:line="240" w:lineRule="auto"/>
              <w:ind w:left="0" w:leftChars="0" w:right="0" w:rightChars="0"/>
              <w:jc w:val="left"/>
              <w:rPr>
                <w:rFonts w:hint="eastAsia"/>
                <w:highlight w:val="none"/>
              </w:rPr>
            </w:pPr>
            <w:r>
              <w:rPr>
                <w:rFonts w:hint="eastAsia" w:ascii="宋体" w:hAnsi="宋体" w:eastAsia="宋体" w:cs="宋体"/>
                <w:sz w:val="24"/>
                <w:szCs w:val="24"/>
                <w:highlight w:val="none"/>
                <w:lang w:val="en-US" w:eastAsia="zh-CN"/>
              </w:rPr>
              <w:t>《中小企业声明函》</w:t>
            </w:r>
          </w:p>
        </w:tc>
      </w:tr>
      <w:tr w14:paraId="35B7F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890" w:type="dxa"/>
            <w:vMerge w:val="restart"/>
            <w:vAlign w:val="center"/>
          </w:tcPr>
          <w:p w14:paraId="4346CCE6">
            <w:pPr>
              <w:spacing w:before="156" w:beforeLines="50" w:after="156" w:afterLines="50" w:line="240" w:lineRule="auto"/>
              <w:jc w:val="center"/>
              <w:rPr>
                <w:rFonts w:hint="eastAsia"/>
                <w:highlight w:val="none"/>
              </w:rPr>
            </w:pPr>
            <w:r>
              <w:rPr>
                <w:rFonts w:hint="eastAsia"/>
                <w:highlight w:val="none"/>
              </w:rPr>
              <w:t>符合性审查</w:t>
            </w:r>
          </w:p>
        </w:tc>
        <w:tc>
          <w:tcPr>
            <w:tcW w:w="613" w:type="dxa"/>
            <w:vAlign w:val="center"/>
          </w:tcPr>
          <w:p w14:paraId="0E2F7125">
            <w:pPr>
              <w:spacing w:before="156" w:beforeLines="50" w:after="156" w:afterLines="50" w:line="240" w:lineRule="auto"/>
              <w:jc w:val="center"/>
              <w:rPr>
                <w:rFonts w:hint="eastAsia"/>
                <w:highlight w:val="none"/>
              </w:rPr>
            </w:pPr>
            <w:r>
              <w:rPr>
                <w:rFonts w:hint="eastAsia"/>
                <w:highlight w:val="none"/>
              </w:rPr>
              <w:t>1</w:t>
            </w:r>
          </w:p>
        </w:tc>
        <w:tc>
          <w:tcPr>
            <w:tcW w:w="1639" w:type="dxa"/>
            <w:vAlign w:val="center"/>
          </w:tcPr>
          <w:p w14:paraId="4D1446E5">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jc w:val="center"/>
              <w:textAlignment w:val="auto"/>
              <w:rPr>
                <w:rFonts w:hint="eastAsia"/>
                <w:kern w:val="0"/>
                <w:position w:val="-2"/>
                <w:highlight w:val="none"/>
              </w:rPr>
            </w:pPr>
            <w:r>
              <w:rPr>
                <w:rFonts w:hint="eastAsia"/>
                <w:kern w:val="0"/>
                <w:position w:val="-2"/>
                <w:highlight w:val="none"/>
              </w:rPr>
              <w:t>项目名称</w:t>
            </w:r>
          </w:p>
        </w:tc>
        <w:tc>
          <w:tcPr>
            <w:tcW w:w="6496" w:type="dxa"/>
            <w:vAlign w:val="center"/>
          </w:tcPr>
          <w:p w14:paraId="1DF0B0B6">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kern w:val="0"/>
                <w:position w:val="-2"/>
                <w:highlight w:val="none"/>
              </w:rPr>
            </w:pPr>
            <w:r>
              <w:rPr>
                <w:rFonts w:hint="eastAsia"/>
                <w:kern w:val="0"/>
                <w:position w:val="-2"/>
                <w:highlight w:val="none"/>
              </w:rPr>
              <w:t>与本项目名称一致</w:t>
            </w:r>
          </w:p>
        </w:tc>
      </w:tr>
      <w:tr w14:paraId="63708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890" w:type="dxa"/>
            <w:vMerge w:val="continue"/>
            <w:vAlign w:val="center"/>
          </w:tcPr>
          <w:p w14:paraId="6C9A519A">
            <w:pPr>
              <w:spacing w:before="156" w:beforeLines="50" w:after="156" w:afterLines="50" w:line="240" w:lineRule="auto"/>
              <w:jc w:val="center"/>
              <w:rPr>
                <w:rFonts w:hint="eastAsia"/>
                <w:highlight w:val="none"/>
              </w:rPr>
            </w:pPr>
          </w:p>
        </w:tc>
        <w:tc>
          <w:tcPr>
            <w:tcW w:w="613" w:type="dxa"/>
            <w:vAlign w:val="center"/>
          </w:tcPr>
          <w:p w14:paraId="773978D4">
            <w:pPr>
              <w:spacing w:before="156" w:beforeLines="50" w:after="156" w:afterLines="50" w:line="240" w:lineRule="auto"/>
              <w:jc w:val="center"/>
              <w:rPr>
                <w:rFonts w:hint="eastAsia"/>
                <w:highlight w:val="none"/>
              </w:rPr>
            </w:pPr>
            <w:r>
              <w:rPr>
                <w:rFonts w:hint="eastAsia"/>
                <w:highlight w:val="none"/>
              </w:rPr>
              <w:t>2</w:t>
            </w:r>
          </w:p>
        </w:tc>
        <w:tc>
          <w:tcPr>
            <w:tcW w:w="1639" w:type="dxa"/>
            <w:vAlign w:val="center"/>
          </w:tcPr>
          <w:p w14:paraId="72DD4ED4">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jc w:val="center"/>
              <w:textAlignment w:val="auto"/>
              <w:rPr>
                <w:rFonts w:hint="eastAsia"/>
                <w:kern w:val="0"/>
                <w:position w:val="-2"/>
                <w:highlight w:val="none"/>
              </w:rPr>
            </w:pPr>
            <w:r>
              <w:rPr>
                <w:rFonts w:hint="eastAsia"/>
                <w:kern w:val="0"/>
                <w:position w:val="-2"/>
                <w:highlight w:val="none"/>
              </w:rPr>
              <w:t>报价供应商名称</w:t>
            </w:r>
          </w:p>
        </w:tc>
        <w:tc>
          <w:tcPr>
            <w:tcW w:w="6496" w:type="dxa"/>
            <w:vAlign w:val="center"/>
          </w:tcPr>
          <w:p w14:paraId="2F2617EC">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kern w:val="0"/>
                <w:position w:val="-2"/>
                <w:highlight w:val="none"/>
              </w:rPr>
            </w:pPr>
            <w:r>
              <w:rPr>
                <w:rFonts w:hint="eastAsia"/>
                <w:kern w:val="0"/>
                <w:position w:val="-2"/>
                <w:highlight w:val="none"/>
              </w:rPr>
              <w:t>与法人或者其他组织的营业执照等证明文件登记企业名称一致</w:t>
            </w:r>
          </w:p>
        </w:tc>
      </w:tr>
      <w:tr w14:paraId="0FDFB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890" w:type="dxa"/>
            <w:vMerge w:val="continue"/>
            <w:vAlign w:val="center"/>
          </w:tcPr>
          <w:p w14:paraId="6F88F086">
            <w:pPr>
              <w:spacing w:before="156" w:beforeLines="50" w:after="156" w:afterLines="50" w:line="240" w:lineRule="auto"/>
              <w:jc w:val="center"/>
              <w:rPr>
                <w:rFonts w:hint="eastAsia"/>
                <w:highlight w:val="none"/>
              </w:rPr>
            </w:pPr>
          </w:p>
        </w:tc>
        <w:tc>
          <w:tcPr>
            <w:tcW w:w="613" w:type="dxa"/>
            <w:vAlign w:val="center"/>
          </w:tcPr>
          <w:p w14:paraId="738024A9">
            <w:pPr>
              <w:spacing w:before="156" w:beforeLines="50" w:after="156" w:afterLines="50" w:line="240" w:lineRule="auto"/>
              <w:jc w:val="center"/>
              <w:rPr>
                <w:rFonts w:hint="eastAsia"/>
                <w:highlight w:val="none"/>
              </w:rPr>
            </w:pPr>
            <w:r>
              <w:rPr>
                <w:rFonts w:hint="eastAsia"/>
                <w:highlight w:val="none"/>
              </w:rPr>
              <w:t>3</w:t>
            </w:r>
          </w:p>
        </w:tc>
        <w:tc>
          <w:tcPr>
            <w:tcW w:w="1639" w:type="dxa"/>
            <w:vAlign w:val="center"/>
          </w:tcPr>
          <w:p w14:paraId="160B5B76">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jc w:val="center"/>
              <w:textAlignment w:val="auto"/>
              <w:rPr>
                <w:rFonts w:hint="eastAsia"/>
                <w:kern w:val="0"/>
                <w:position w:val="-2"/>
                <w:highlight w:val="none"/>
              </w:rPr>
            </w:pPr>
            <w:r>
              <w:rPr>
                <w:rFonts w:hint="eastAsia"/>
                <w:kern w:val="0"/>
                <w:position w:val="-2"/>
                <w:highlight w:val="none"/>
                <w:lang w:eastAsia="zh-CN"/>
              </w:rPr>
              <w:t>签字、盖章</w:t>
            </w:r>
          </w:p>
        </w:tc>
        <w:tc>
          <w:tcPr>
            <w:tcW w:w="6496" w:type="dxa"/>
            <w:vAlign w:val="center"/>
          </w:tcPr>
          <w:p w14:paraId="4CC07F47">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kern w:val="0"/>
                <w:position w:val="-2"/>
                <w:highlight w:val="none"/>
              </w:rPr>
            </w:pPr>
            <w:r>
              <w:rPr>
                <w:rFonts w:hint="eastAsia"/>
                <w:kern w:val="0"/>
                <w:position w:val="-2"/>
                <w:highlight w:val="none"/>
              </w:rPr>
              <w:t>按照</w:t>
            </w:r>
            <w:r>
              <w:rPr>
                <w:rFonts w:hint="eastAsia"/>
                <w:kern w:val="0"/>
                <w:position w:val="-2"/>
                <w:highlight w:val="none"/>
                <w:lang w:eastAsia="zh-CN"/>
              </w:rPr>
              <w:t>竞争性磋商文件</w:t>
            </w:r>
            <w:r>
              <w:rPr>
                <w:rFonts w:hint="eastAsia"/>
                <w:kern w:val="0"/>
                <w:position w:val="-2"/>
                <w:highlight w:val="none"/>
              </w:rPr>
              <w:t>规定要求</w:t>
            </w:r>
          </w:p>
        </w:tc>
      </w:tr>
      <w:tr w14:paraId="7681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890" w:type="dxa"/>
            <w:vMerge w:val="continue"/>
            <w:vAlign w:val="center"/>
          </w:tcPr>
          <w:p w14:paraId="146C72A2">
            <w:pPr>
              <w:spacing w:before="156" w:beforeLines="50" w:after="156" w:afterLines="50" w:line="240" w:lineRule="auto"/>
              <w:jc w:val="center"/>
              <w:rPr>
                <w:rFonts w:hint="eastAsia"/>
                <w:highlight w:val="none"/>
              </w:rPr>
            </w:pPr>
          </w:p>
        </w:tc>
        <w:tc>
          <w:tcPr>
            <w:tcW w:w="613" w:type="dxa"/>
            <w:vAlign w:val="center"/>
          </w:tcPr>
          <w:p w14:paraId="1F767809">
            <w:pPr>
              <w:spacing w:before="156" w:beforeLines="50" w:after="156" w:afterLines="50" w:line="240" w:lineRule="auto"/>
              <w:jc w:val="center"/>
              <w:rPr>
                <w:rFonts w:hint="eastAsia"/>
                <w:highlight w:val="none"/>
              </w:rPr>
            </w:pPr>
            <w:r>
              <w:rPr>
                <w:rFonts w:hint="eastAsia"/>
                <w:highlight w:val="none"/>
              </w:rPr>
              <w:t>4</w:t>
            </w:r>
          </w:p>
        </w:tc>
        <w:tc>
          <w:tcPr>
            <w:tcW w:w="1639" w:type="dxa"/>
            <w:vAlign w:val="center"/>
          </w:tcPr>
          <w:p w14:paraId="1EE7BA2D">
            <w:pPr>
              <w:keepNext w:val="0"/>
              <w:keepLines w:val="0"/>
              <w:pageBreakBefore w:val="0"/>
              <w:widowControl w:val="0"/>
              <w:kinsoku/>
              <w:wordWrap/>
              <w:overflowPunct/>
              <w:topLinePunct w:val="0"/>
              <w:bidi w:val="0"/>
              <w:snapToGrid/>
              <w:spacing w:before="157" w:beforeLines="50" w:after="157" w:afterLines="50" w:line="264" w:lineRule="auto"/>
              <w:jc w:val="center"/>
              <w:textAlignment w:val="auto"/>
              <w:rPr>
                <w:rFonts w:hint="eastAsia"/>
                <w:kern w:val="0"/>
                <w:position w:val="-2"/>
                <w:highlight w:val="none"/>
              </w:rPr>
            </w:pPr>
            <w:r>
              <w:rPr>
                <w:rFonts w:hint="eastAsia"/>
                <w:highlight w:val="none"/>
              </w:rPr>
              <w:t>服务期限</w:t>
            </w:r>
          </w:p>
        </w:tc>
        <w:tc>
          <w:tcPr>
            <w:tcW w:w="6496" w:type="dxa"/>
            <w:vAlign w:val="center"/>
          </w:tcPr>
          <w:p w14:paraId="3ADE2012">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kern w:val="0"/>
                <w:position w:val="-2"/>
                <w:highlight w:val="none"/>
              </w:rPr>
            </w:pPr>
            <w:r>
              <w:rPr>
                <w:rFonts w:hint="eastAsia"/>
                <w:kern w:val="0"/>
                <w:position w:val="-2"/>
                <w:highlight w:val="none"/>
              </w:rPr>
              <w:t>符合</w:t>
            </w:r>
            <w:r>
              <w:rPr>
                <w:rFonts w:hint="eastAsia"/>
                <w:kern w:val="0"/>
                <w:position w:val="-2"/>
                <w:highlight w:val="none"/>
                <w:lang w:eastAsia="zh-CN"/>
              </w:rPr>
              <w:t>竞争性磋商文件</w:t>
            </w:r>
            <w:r>
              <w:rPr>
                <w:rFonts w:hint="eastAsia"/>
                <w:kern w:val="0"/>
                <w:position w:val="-2"/>
                <w:highlight w:val="none"/>
              </w:rPr>
              <w:t>第3章“供应商须知资料表”规定</w:t>
            </w:r>
          </w:p>
        </w:tc>
      </w:tr>
      <w:tr w14:paraId="37637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890" w:type="dxa"/>
            <w:vMerge w:val="continue"/>
            <w:vAlign w:val="center"/>
          </w:tcPr>
          <w:p w14:paraId="56174552">
            <w:pPr>
              <w:spacing w:before="156" w:beforeLines="50" w:after="156" w:afterLines="50" w:line="240" w:lineRule="auto"/>
              <w:jc w:val="center"/>
              <w:rPr>
                <w:rFonts w:hint="eastAsia"/>
                <w:highlight w:val="none"/>
              </w:rPr>
            </w:pPr>
          </w:p>
        </w:tc>
        <w:tc>
          <w:tcPr>
            <w:tcW w:w="613" w:type="dxa"/>
            <w:vAlign w:val="center"/>
          </w:tcPr>
          <w:p w14:paraId="55CB4350">
            <w:pPr>
              <w:spacing w:before="156" w:beforeLines="50" w:after="156" w:afterLines="50" w:line="240" w:lineRule="auto"/>
              <w:jc w:val="center"/>
              <w:rPr>
                <w:rFonts w:hint="eastAsia"/>
                <w:highlight w:val="none"/>
              </w:rPr>
            </w:pPr>
            <w:r>
              <w:rPr>
                <w:rFonts w:hint="eastAsia"/>
                <w:highlight w:val="none"/>
              </w:rPr>
              <w:t>5</w:t>
            </w:r>
          </w:p>
        </w:tc>
        <w:tc>
          <w:tcPr>
            <w:tcW w:w="1639" w:type="dxa"/>
            <w:vAlign w:val="center"/>
          </w:tcPr>
          <w:p w14:paraId="71E23CCF">
            <w:pPr>
              <w:keepNext w:val="0"/>
              <w:keepLines w:val="0"/>
              <w:pageBreakBefore w:val="0"/>
              <w:widowControl w:val="0"/>
              <w:kinsoku/>
              <w:wordWrap/>
              <w:overflowPunct/>
              <w:topLinePunct w:val="0"/>
              <w:bidi w:val="0"/>
              <w:snapToGrid/>
              <w:spacing w:before="157" w:beforeLines="50" w:after="157" w:afterLines="50" w:line="264" w:lineRule="auto"/>
              <w:jc w:val="center"/>
              <w:textAlignment w:val="auto"/>
              <w:rPr>
                <w:rFonts w:hint="eastAsia"/>
                <w:kern w:val="0"/>
                <w:position w:val="-2"/>
                <w:highlight w:val="none"/>
              </w:rPr>
            </w:pPr>
            <w:r>
              <w:rPr>
                <w:rFonts w:hint="eastAsia"/>
                <w:highlight w:val="none"/>
              </w:rPr>
              <w:t>服务地点</w:t>
            </w:r>
          </w:p>
        </w:tc>
        <w:tc>
          <w:tcPr>
            <w:tcW w:w="6496" w:type="dxa"/>
            <w:vAlign w:val="center"/>
          </w:tcPr>
          <w:p w14:paraId="0F43CEDB">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kern w:val="0"/>
                <w:position w:val="-2"/>
                <w:highlight w:val="none"/>
              </w:rPr>
            </w:pPr>
            <w:r>
              <w:rPr>
                <w:rFonts w:hint="eastAsia"/>
                <w:kern w:val="0"/>
                <w:position w:val="-2"/>
                <w:highlight w:val="none"/>
              </w:rPr>
              <w:t>符合</w:t>
            </w:r>
            <w:r>
              <w:rPr>
                <w:rFonts w:hint="eastAsia"/>
                <w:kern w:val="0"/>
                <w:position w:val="-2"/>
                <w:highlight w:val="none"/>
                <w:lang w:eastAsia="zh-CN"/>
              </w:rPr>
              <w:t>竞争性磋商文件</w:t>
            </w:r>
            <w:r>
              <w:rPr>
                <w:rFonts w:hint="eastAsia"/>
                <w:kern w:val="0"/>
                <w:position w:val="-2"/>
                <w:highlight w:val="none"/>
              </w:rPr>
              <w:t>第3章“供应商须知资料表”规定</w:t>
            </w:r>
          </w:p>
        </w:tc>
      </w:tr>
      <w:tr w14:paraId="00045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890" w:type="dxa"/>
            <w:vMerge w:val="continue"/>
            <w:vAlign w:val="center"/>
          </w:tcPr>
          <w:p w14:paraId="7D2ED154">
            <w:pPr>
              <w:spacing w:before="156" w:beforeLines="50" w:after="156" w:afterLines="50" w:line="240" w:lineRule="auto"/>
              <w:jc w:val="center"/>
              <w:rPr>
                <w:rFonts w:hint="eastAsia"/>
                <w:highlight w:val="none"/>
              </w:rPr>
            </w:pPr>
          </w:p>
        </w:tc>
        <w:tc>
          <w:tcPr>
            <w:tcW w:w="613" w:type="dxa"/>
            <w:vAlign w:val="center"/>
          </w:tcPr>
          <w:p w14:paraId="08218D9D">
            <w:pPr>
              <w:spacing w:before="156" w:beforeLines="50" w:after="156" w:afterLines="50" w:line="240" w:lineRule="auto"/>
              <w:jc w:val="center"/>
              <w:rPr>
                <w:rFonts w:hint="eastAsia"/>
                <w:highlight w:val="none"/>
              </w:rPr>
            </w:pPr>
            <w:r>
              <w:rPr>
                <w:rFonts w:hint="eastAsia"/>
                <w:highlight w:val="none"/>
              </w:rPr>
              <w:t>6</w:t>
            </w:r>
          </w:p>
        </w:tc>
        <w:tc>
          <w:tcPr>
            <w:tcW w:w="1639" w:type="dxa"/>
            <w:vAlign w:val="center"/>
          </w:tcPr>
          <w:p w14:paraId="0A426A86">
            <w:pPr>
              <w:keepNext w:val="0"/>
              <w:keepLines w:val="0"/>
              <w:pageBreakBefore w:val="0"/>
              <w:widowControl w:val="0"/>
              <w:kinsoku/>
              <w:wordWrap/>
              <w:overflowPunct/>
              <w:topLinePunct w:val="0"/>
              <w:bidi w:val="0"/>
              <w:snapToGrid/>
              <w:spacing w:before="157" w:beforeLines="50" w:after="157" w:afterLines="50" w:line="264" w:lineRule="auto"/>
              <w:jc w:val="center"/>
              <w:textAlignment w:val="auto"/>
              <w:rPr>
                <w:rFonts w:hint="eastAsia"/>
                <w:kern w:val="0"/>
                <w:position w:val="-2"/>
                <w:highlight w:val="none"/>
              </w:rPr>
            </w:pPr>
            <w:r>
              <w:rPr>
                <w:rFonts w:hint="eastAsia"/>
                <w:highlight w:val="none"/>
              </w:rPr>
              <w:t>服务标准</w:t>
            </w:r>
          </w:p>
        </w:tc>
        <w:tc>
          <w:tcPr>
            <w:tcW w:w="6496" w:type="dxa"/>
            <w:vAlign w:val="center"/>
          </w:tcPr>
          <w:p w14:paraId="30FD49C8">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kern w:val="0"/>
                <w:position w:val="-2"/>
                <w:highlight w:val="none"/>
              </w:rPr>
            </w:pPr>
            <w:r>
              <w:rPr>
                <w:rFonts w:hint="eastAsia"/>
                <w:kern w:val="0"/>
                <w:position w:val="-2"/>
                <w:highlight w:val="none"/>
              </w:rPr>
              <w:t>符合</w:t>
            </w:r>
            <w:r>
              <w:rPr>
                <w:rFonts w:hint="eastAsia"/>
                <w:kern w:val="0"/>
                <w:position w:val="-2"/>
                <w:highlight w:val="none"/>
                <w:lang w:eastAsia="zh-CN"/>
              </w:rPr>
              <w:t>竞争性磋商文件</w:t>
            </w:r>
            <w:r>
              <w:rPr>
                <w:rFonts w:hint="eastAsia"/>
                <w:kern w:val="0"/>
                <w:position w:val="-2"/>
                <w:highlight w:val="none"/>
              </w:rPr>
              <w:t>第3章“供应商须知资料表”规定</w:t>
            </w:r>
          </w:p>
        </w:tc>
      </w:tr>
      <w:tr w14:paraId="71128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890" w:type="dxa"/>
            <w:vMerge w:val="continue"/>
            <w:vAlign w:val="center"/>
          </w:tcPr>
          <w:p w14:paraId="40EB3CD4">
            <w:pPr>
              <w:spacing w:before="156" w:beforeLines="50" w:after="156" w:afterLines="50" w:line="240" w:lineRule="auto"/>
              <w:jc w:val="center"/>
              <w:rPr>
                <w:rFonts w:hint="eastAsia"/>
                <w:highlight w:val="none"/>
              </w:rPr>
            </w:pPr>
          </w:p>
        </w:tc>
        <w:tc>
          <w:tcPr>
            <w:tcW w:w="613" w:type="dxa"/>
            <w:vAlign w:val="center"/>
          </w:tcPr>
          <w:p w14:paraId="1B895D5F">
            <w:pPr>
              <w:spacing w:before="156" w:beforeLines="50" w:after="156" w:afterLines="50" w:line="240" w:lineRule="auto"/>
              <w:jc w:val="center"/>
              <w:rPr>
                <w:rFonts w:hint="eastAsia"/>
                <w:highlight w:val="none"/>
              </w:rPr>
            </w:pPr>
            <w:r>
              <w:rPr>
                <w:rFonts w:hint="eastAsia"/>
                <w:highlight w:val="none"/>
              </w:rPr>
              <w:t>7</w:t>
            </w:r>
          </w:p>
        </w:tc>
        <w:tc>
          <w:tcPr>
            <w:tcW w:w="1639" w:type="dxa"/>
            <w:vAlign w:val="center"/>
          </w:tcPr>
          <w:p w14:paraId="7FCFCA5E">
            <w:pPr>
              <w:keepNext w:val="0"/>
              <w:keepLines w:val="0"/>
              <w:pageBreakBefore w:val="0"/>
              <w:widowControl w:val="0"/>
              <w:kinsoku/>
              <w:wordWrap/>
              <w:overflowPunct/>
              <w:topLinePunct w:val="0"/>
              <w:bidi w:val="0"/>
              <w:snapToGrid/>
              <w:spacing w:before="157" w:beforeLines="50" w:after="157" w:afterLines="50" w:line="264" w:lineRule="auto"/>
              <w:jc w:val="center"/>
              <w:textAlignment w:val="auto"/>
              <w:rPr>
                <w:rFonts w:hint="eastAsia"/>
                <w:highlight w:val="none"/>
              </w:rPr>
            </w:pPr>
            <w:r>
              <w:rPr>
                <w:rFonts w:hint="eastAsia"/>
                <w:highlight w:val="none"/>
              </w:rPr>
              <w:t>报价有效期</w:t>
            </w:r>
          </w:p>
        </w:tc>
        <w:tc>
          <w:tcPr>
            <w:tcW w:w="6496" w:type="dxa"/>
            <w:vAlign w:val="center"/>
          </w:tcPr>
          <w:p w14:paraId="61937594">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kern w:val="0"/>
                <w:position w:val="-2"/>
                <w:highlight w:val="none"/>
              </w:rPr>
            </w:pPr>
            <w:r>
              <w:rPr>
                <w:rFonts w:hint="eastAsia"/>
                <w:kern w:val="0"/>
                <w:position w:val="-2"/>
                <w:highlight w:val="none"/>
              </w:rPr>
              <w:t>符合</w:t>
            </w:r>
            <w:r>
              <w:rPr>
                <w:rFonts w:hint="eastAsia"/>
                <w:kern w:val="0"/>
                <w:position w:val="-2"/>
                <w:highlight w:val="none"/>
                <w:lang w:eastAsia="zh-CN"/>
              </w:rPr>
              <w:t>竞争性磋商文件</w:t>
            </w:r>
            <w:r>
              <w:rPr>
                <w:rFonts w:hint="eastAsia"/>
                <w:kern w:val="0"/>
                <w:position w:val="-2"/>
                <w:highlight w:val="none"/>
              </w:rPr>
              <w:t>第3章“供应商须知资料表”规定</w:t>
            </w:r>
          </w:p>
        </w:tc>
      </w:tr>
      <w:tr w14:paraId="7F70B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890" w:type="dxa"/>
            <w:vMerge w:val="continue"/>
            <w:vAlign w:val="center"/>
          </w:tcPr>
          <w:p w14:paraId="6F76EF52">
            <w:pPr>
              <w:spacing w:before="156" w:beforeLines="50" w:after="156" w:afterLines="50" w:line="240" w:lineRule="auto"/>
              <w:jc w:val="center"/>
              <w:rPr>
                <w:rFonts w:hint="eastAsia"/>
                <w:highlight w:val="none"/>
              </w:rPr>
            </w:pPr>
          </w:p>
        </w:tc>
        <w:tc>
          <w:tcPr>
            <w:tcW w:w="613" w:type="dxa"/>
            <w:vAlign w:val="center"/>
          </w:tcPr>
          <w:p w14:paraId="40C821C9">
            <w:pPr>
              <w:spacing w:before="156" w:beforeLines="50" w:after="156" w:afterLines="50" w:line="240" w:lineRule="auto"/>
              <w:jc w:val="center"/>
              <w:rPr>
                <w:rFonts w:hint="eastAsia"/>
                <w:highlight w:val="none"/>
              </w:rPr>
            </w:pPr>
            <w:r>
              <w:rPr>
                <w:rFonts w:hint="eastAsia"/>
                <w:highlight w:val="none"/>
              </w:rPr>
              <w:t>8</w:t>
            </w:r>
          </w:p>
        </w:tc>
        <w:tc>
          <w:tcPr>
            <w:tcW w:w="1639" w:type="dxa"/>
            <w:vAlign w:val="center"/>
          </w:tcPr>
          <w:p w14:paraId="58C505BE">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jc w:val="center"/>
              <w:textAlignment w:val="auto"/>
              <w:rPr>
                <w:rFonts w:hint="eastAsia"/>
                <w:kern w:val="0"/>
                <w:position w:val="-2"/>
                <w:highlight w:val="none"/>
              </w:rPr>
            </w:pPr>
            <w:r>
              <w:rPr>
                <w:rFonts w:hint="eastAsia"/>
                <w:kern w:val="0"/>
                <w:position w:val="-2"/>
                <w:highlight w:val="none"/>
              </w:rPr>
              <w:t>其他</w:t>
            </w:r>
          </w:p>
        </w:tc>
        <w:tc>
          <w:tcPr>
            <w:tcW w:w="6496" w:type="dxa"/>
            <w:vAlign w:val="center"/>
          </w:tcPr>
          <w:p w14:paraId="197A2F2E">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kern w:val="0"/>
                <w:position w:val="-2"/>
                <w:highlight w:val="none"/>
              </w:rPr>
            </w:pPr>
            <w:r>
              <w:rPr>
                <w:rFonts w:hint="eastAsia"/>
                <w:kern w:val="0"/>
                <w:position w:val="-2"/>
                <w:highlight w:val="none"/>
              </w:rPr>
              <w:t>响应</w:t>
            </w:r>
            <w:r>
              <w:rPr>
                <w:rFonts w:hint="eastAsia"/>
                <w:kern w:val="0"/>
                <w:position w:val="-2"/>
                <w:highlight w:val="none"/>
                <w:lang w:eastAsia="zh-CN"/>
              </w:rPr>
              <w:t>竞争性磋商文件</w:t>
            </w:r>
            <w:r>
              <w:rPr>
                <w:rFonts w:hint="eastAsia"/>
                <w:kern w:val="0"/>
                <w:position w:val="-2"/>
                <w:highlight w:val="none"/>
              </w:rPr>
              <w:t>规定的其他实质性要求</w:t>
            </w:r>
          </w:p>
        </w:tc>
      </w:tr>
      <w:tr w14:paraId="1C788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38" w:type="dxa"/>
            <w:gridSpan w:val="4"/>
            <w:vAlign w:val="center"/>
          </w:tcPr>
          <w:p w14:paraId="21A053E3">
            <w:pPr>
              <w:spacing w:before="156" w:beforeLines="50" w:after="156" w:afterLines="50" w:line="240" w:lineRule="auto"/>
              <w:jc w:val="left"/>
              <w:rPr>
                <w:rFonts w:hint="eastAsia"/>
                <w:b/>
                <w:bCs/>
                <w:highlight w:val="none"/>
              </w:rPr>
            </w:pPr>
            <w:bookmarkStart w:id="615" w:name="_Toc45562498"/>
            <w:bookmarkStart w:id="616" w:name="_Toc46136845"/>
            <w:bookmarkStart w:id="617" w:name="_Toc10761"/>
            <w:bookmarkStart w:id="618" w:name="_Toc25535"/>
            <w:bookmarkStart w:id="619" w:name="_Toc21109"/>
            <w:bookmarkStart w:id="620" w:name="_Toc28858"/>
            <w:bookmarkStart w:id="621" w:name="_Toc46238262"/>
            <w:r>
              <w:rPr>
                <w:rFonts w:hint="eastAsia"/>
                <w:b/>
                <w:bCs/>
                <w:highlight w:val="none"/>
              </w:rPr>
              <w:t>符合☑   不符合</w:t>
            </w:r>
            <w:r>
              <w:rPr>
                <w:rFonts w:hint="eastAsia"/>
                <w:b/>
                <w:bCs/>
                <w:highlight w:val="none"/>
              </w:rPr>
              <w:sym w:font="Wingdings" w:char="00FD"/>
            </w:r>
          </w:p>
          <w:p w14:paraId="1EBEE589">
            <w:pPr>
              <w:spacing w:before="156" w:beforeLines="50" w:after="156" w:afterLines="50" w:line="240" w:lineRule="auto"/>
              <w:jc w:val="left"/>
              <w:rPr>
                <w:rFonts w:hint="eastAsia"/>
                <w:highlight w:val="none"/>
              </w:rPr>
            </w:pPr>
            <w:r>
              <w:rPr>
                <w:rFonts w:hint="eastAsia"/>
                <w:b/>
                <w:bCs/>
                <w:highlight w:val="none"/>
              </w:rPr>
              <w:t>磋商小组按照以上条款内容对响应文件进行符合性审查，发现响应文件中有一项或多项不响应者，将作无效报价处理。</w:t>
            </w:r>
          </w:p>
        </w:tc>
      </w:tr>
    </w:tbl>
    <w:p w14:paraId="723CB8F5">
      <w:pPr>
        <w:pStyle w:val="12"/>
        <w:ind w:left="0" w:leftChars="0" w:firstLine="0" w:firstLineChars="0"/>
        <w:rPr>
          <w:b/>
          <w:bCs/>
          <w:kern w:val="0"/>
          <w:sz w:val="28"/>
          <w:highlight w:val="none"/>
        </w:rPr>
      </w:pPr>
    </w:p>
    <w:p w14:paraId="37A4154D">
      <w:pPr>
        <w:pStyle w:val="12"/>
        <w:ind w:left="0" w:leftChars="0" w:firstLine="0" w:firstLineChars="0"/>
        <w:rPr>
          <w:b/>
          <w:bCs/>
          <w:kern w:val="0"/>
          <w:sz w:val="28"/>
          <w:highlight w:val="none"/>
        </w:rPr>
      </w:pPr>
    </w:p>
    <w:p w14:paraId="76CD2E8D">
      <w:pPr>
        <w:pStyle w:val="12"/>
        <w:ind w:left="0" w:leftChars="0" w:firstLine="0" w:firstLineChars="0"/>
        <w:rPr>
          <w:b/>
          <w:bCs/>
          <w:kern w:val="0"/>
          <w:sz w:val="28"/>
          <w:highlight w:val="none"/>
        </w:rPr>
      </w:pPr>
    </w:p>
    <w:p w14:paraId="18D749BB">
      <w:pPr>
        <w:pStyle w:val="12"/>
        <w:ind w:left="0" w:leftChars="0" w:firstLine="0" w:firstLineChars="0"/>
        <w:rPr>
          <w:b/>
          <w:bCs/>
          <w:kern w:val="0"/>
          <w:sz w:val="28"/>
          <w:highlight w:val="none"/>
        </w:rPr>
      </w:pPr>
    </w:p>
    <w:p w14:paraId="3DF40E75">
      <w:pPr>
        <w:rPr>
          <w:rFonts w:hint="eastAsia"/>
          <w:b/>
          <w:bCs/>
          <w:kern w:val="0"/>
          <w:sz w:val="28"/>
          <w:highlight w:val="none"/>
        </w:rPr>
      </w:pPr>
      <w:r>
        <w:rPr>
          <w:rFonts w:hint="eastAsia"/>
          <w:b/>
          <w:bCs/>
          <w:kern w:val="0"/>
          <w:sz w:val="28"/>
          <w:highlight w:val="none"/>
        </w:rPr>
        <w:br w:type="page"/>
      </w:r>
    </w:p>
    <w:p w14:paraId="5C575032">
      <w:pPr>
        <w:jc w:val="center"/>
        <w:rPr>
          <w:rFonts w:hint="eastAsia"/>
          <w:b/>
          <w:bCs/>
          <w:highlight w:val="none"/>
        </w:rPr>
      </w:pPr>
      <w:r>
        <w:rPr>
          <w:rFonts w:hint="eastAsia"/>
          <w:b/>
          <w:bCs/>
          <w:kern w:val="0"/>
          <w:sz w:val="28"/>
          <w:highlight w:val="none"/>
        </w:rPr>
        <w:t>（二）</w:t>
      </w:r>
      <w:bookmarkEnd w:id="615"/>
      <w:bookmarkEnd w:id="616"/>
      <w:bookmarkEnd w:id="617"/>
      <w:bookmarkEnd w:id="618"/>
      <w:bookmarkEnd w:id="619"/>
      <w:bookmarkEnd w:id="620"/>
      <w:bookmarkEnd w:id="621"/>
      <w:bookmarkStart w:id="622" w:name="_Toc7196"/>
      <w:bookmarkStart w:id="623" w:name="_Toc46235126"/>
      <w:bookmarkStart w:id="624" w:name="_Toc518923106"/>
      <w:bookmarkStart w:id="625" w:name="_Toc216582812"/>
      <w:r>
        <w:rPr>
          <w:rFonts w:hint="eastAsia"/>
          <w:b/>
          <w:bCs/>
          <w:kern w:val="0"/>
          <w:sz w:val="28"/>
          <w:highlight w:val="none"/>
        </w:rPr>
        <w:t>评分细则</w:t>
      </w:r>
    </w:p>
    <w:tbl>
      <w:tblPr>
        <w:tblStyle w:val="58"/>
        <w:tblW w:w="9646" w:type="dxa"/>
        <w:tblInd w:w="-30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1"/>
        <w:gridCol w:w="803"/>
        <w:gridCol w:w="7892"/>
      </w:tblGrid>
      <w:tr w14:paraId="29F938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951" w:type="dxa"/>
            <w:vAlign w:val="center"/>
          </w:tcPr>
          <w:p w14:paraId="48489C0F">
            <w:pPr>
              <w:pStyle w:val="68"/>
              <w:spacing w:before="56" w:line="221" w:lineRule="auto"/>
              <w:jc w:val="center"/>
              <w:rPr>
                <w:b/>
                <w:bCs/>
                <w:sz w:val="24"/>
                <w:szCs w:val="24"/>
                <w:highlight w:val="none"/>
              </w:rPr>
            </w:pPr>
            <w:r>
              <w:rPr>
                <w:b/>
                <w:bCs/>
                <w:spacing w:val="-3"/>
                <w:sz w:val="24"/>
                <w:szCs w:val="24"/>
                <w:highlight w:val="none"/>
              </w:rPr>
              <w:t>项目</w:t>
            </w:r>
          </w:p>
        </w:tc>
        <w:tc>
          <w:tcPr>
            <w:tcW w:w="803" w:type="dxa"/>
            <w:vAlign w:val="center"/>
          </w:tcPr>
          <w:p w14:paraId="0D85BE65">
            <w:pPr>
              <w:pStyle w:val="68"/>
              <w:spacing w:before="55" w:line="221" w:lineRule="auto"/>
              <w:jc w:val="center"/>
              <w:rPr>
                <w:b/>
                <w:bCs/>
                <w:sz w:val="24"/>
                <w:szCs w:val="24"/>
                <w:highlight w:val="none"/>
              </w:rPr>
            </w:pPr>
            <w:r>
              <w:rPr>
                <w:b/>
                <w:bCs/>
                <w:spacing w:val="-3"/>
                <w:sz w:val="24"/>
                <w:szCs w:val="24"/>
                <w:highlight w:val="none"/>
              </w:rPr>
              <w:t>分值</w:t>
            </w:r>
          </w:p>
        </w:tc>
        <w:tc>
          <w:tcPr>
            <w:tcW w:w="7892" w:type="dxa"/>
            <w:vAlign w:val="center"/>
          </w:tcPr>
          <w:p w14:paraId="649EAB38">
            <w:pPr>
              <w:pStyle w:val="68"/>
              <w:spacing w:before="56" w:line="221" w:lineRule="auto"/>
              <w:jc w:val="center"/>
              <w:rPr>
                <w:b/>
                <w:bCs/>
                <w:sz w:val="24"/>
                <w:szCs w:val="24"/>
                <w:highlight w:val="none"/>
              </w:rPr>
            </w:pPr>
            <w:r>
              <w:rPr>
                <w:b/>
                <w:bCs/>
                <w:spacing w:val="-1"/>
                <w:sz w:val="24"/>
                <w:szCs w:val="24"/>
                <w:highlight w:val="none"/>
              </w:rPr>
              <w:t>评分标准</w:t>
            </w:r>
          </w:p>
        </w:tc>
      </w:tr>
      <w:tr w14:paraId="1205C3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9" w:hRule="atLeast"/>
        </w:trPr>
        <w:tc>
          <w:tcPr>
            <w:tcW w:w="951" w:type="dxa"/>
            <w:vAlign w:val="center"/>
          </w:tcPr>
          <w:p w14:paraId="303A944F">
            <w:pPr>
              <w:pStyle w:val="68"/>
              <w:spacing w:before="207" w:line="261" w:lineRule="auto"/>
              <w:ind w:right="6"/>
              <w:jc w:val="center"/>
              <w:rPr>
                <w:sz w:val="24"/>
                <w:szCs w:val="24"/>
                <w:highlight w:val="none"/>
              </w:rPr>
            </w:pPr>
            <w:r>
              <w:rPr>
                <w:spacing w:val="-1"/>
                <w:sz w:val="24"/>
                <w:szCs w:val="24"/>
                <w:highlight w:val="none"/>
              </w:rPr>
              <w:t>报价部</w:t>
            </w:r>
            <w:r>
              <w:rPr>
                <w:sz w:val="24"/>
                <w:szCs w:val="24"/>
                <w:highlight w:val="none"/>
              </w:rPr>
              <w:t xml:space="preserve"> </w:t>
            </w:r>
            <w:r>
              <w:rPr>
                <w:spacing w:val="-11"/>
                <w:sz w:val="24"/>
                <w:szCs w:val="24"/>
                <w:highlight w:val="none"/>
              </w:rPr>
              <w:t>分</w:t>
            </w:r>
            <w:r>
              <w:rPr>
                <w:spacing w:val="-28"/>
                <w:sz w:val="24"/>
                <w:szCs w:val="24"/>
                <w:highlight w:val="none"/>
              </w:rPr>
              <w:t xml:space="preserve"> </w:t>
            </w:r>
            <w:r>
              <w:rPr>
                <w:spacing w:val="-11"/>
                <w:sz w:val="24"/>
                <w:szCs w:val="24"/>
                <w:highlight w:val="none"/>
              </w:rPr>
              <w:t>10</w:t>
            </w:r>
            <w:r>
              <w:rPr>
                <w:spacing w:val="-41"/>
                <w:sz w:val="24"/>
                <w:szCs w:val="24"/>
                <w:highlight w:val="none"/>
              </w:rPr>
              <w:t xml:space="preserve"> </w:t>
            </w:r>
            <w:r>
              <w:rPr>
                <w:spacing w:val="-11"/>
                <w:sz w:val="24"/>
                <w:szCs w:val="24"/>
                <w:highlight w:val="none"/>
              </w:rPr>
              <w:t>分</w:t>
            </w:r>
          </w:p>
        </w:tc>
        <w:tc>
          <w:tcPr>
            <w:tcW w:w="803" w:type="dxa"/>
            <w:vAlign w:val="center"/>
          </w:tcPr>
          <w:p w14:paraId="2F8B7640">
            <w:pPr>
              <w:pStyle w:val="68"/>
              <w:spacing w:before="69" w:line="221" w:lineRule="auto"/>
              <w:jc w:val="center"/>
              <w:rPr>
                <w:sz w:val="24"/>
                <w:szCs w:val="24"/>
                <w:highlight w:val="none"/>
              </w:rPr>
            </w:pPr>
            <w:r>
              <w:rPr>
                <w:spacing w:val="-8"/>
                <w:sz w:val="24"/>
                <w:szCs w:val="24"/>
                <w:highlight w:val="none"/>
              </w:rPr>
              <w:t>10</w:t>
            </w:r>
            <w:r>
              <w:rPr>
                <w:spacing w:val="-42"/>
                <w:sz w:val="24"/>
                <w:szCs w:val="24"/>
                <w:highlight w:val="none"/>
              </w:rPr>
              <w:t xml:space="preserve"> </w:t>
            </w:r>
            <w:r>
              <w:rPr>
                <w:spacing w:val="-8"/>
                <w:sz w:val="24"/>
                <w:szCs w:val="24"/>
                <w:highlight w:val="none"/>
              </w:rPr>
              <w:t>分</w:t>
            </w:r>
          </w:p>
        </w:tc>
        <w:tc>
          <w:tcPr>
            <w:tcW w:w="7892" w:type="dxa"/>
            <w:vAlign w:val="center"/>
          </w:tcPr>
          <w:p w14:paraId="0C1C3224">
            <w:pPr>
              <w:pStyle w:val="68"/>
              <w:spacing w:before="49" w:line="248" w:lineRule="auto"/>
              <w:ind w:left="22" w:right="9" w:firstLine="15"/>
              <w:jc w:val="both"/>
              <w:rPr>
                <w:rFonts w:ascii="宋体" w:hAnsi="宋体" w:eastAsia="宋体" w:cs="宋体"/>
                <w:sz w:val="24"/>
                <w:szCs w:val="24"/>
                <w:highlight w:val="none"/>
              </w:rPr>
            </w:pPr>
            <w:r>
              <w:rPr>
                <w:rFonts w:ascii="宋体" w:hAnsi="宋体" w:eastAsia="宋体" w:cs="宋体"/>
                <w:sz w:val="24"/>
                <w:szCs w:val="24"/>
                <w:highlight w:val="none"/>
              </w:rPr>
              <w:t>投标报价得分采用低价优先法计算，即满足磋商文件要求且最后投标价格最低的投标报价为评审基准价，其报价得满分。其他供应商的投标报价得分按下列公式计算：</w:t>
            </w:r>
          </w:p>
          <w:p w14:paraId="56B68985">
            <w:pPr>
              <w:pStyle w:val="68"/>
              <w:spacing w:before="49" w:line="248" w:lineRule="auto"/>
              <w:ind w:left="22" w:right="9" w:firstLine="15"/>
              <w:jc w:val="both"/>
              <w:rPr>
                <w:rFonts w:ascii="宋体" w:hAnsi="宋体" w:eastAsia="宋体" w:cs="宋体"/>
                <w:sz w:val="24"/>
                <w:szCs w:val="24"/>
                <w:highlight w:val="none"/>
              </w:rPr>
            </w:pPr>
            <w:r>
              <w:rPr>
                <w:rFonts w:ascii="宋体" w:hAnsi="宋体" w:eastAsia="宋体" w:cs="宋体"/>
                <w:sz w:val="24"/>
                <w:szCs w:val="24"/>
                <w:highlight w:val="none"/>
              </w:rPr>
              <w:t>投标报价得分=(评审基准价／最后磋商报价)×10%×100 。报价得分保留小数点后两位。</w:t>
            </w:r>
          </w:p>
        </w:tc>
      </w:tr>
      <w:tr w14:paraId="3DDD6F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951" w:type="dxa"/>
            <w:vMerge w:val="restart"/>
            <w:vAlign w:val="center"/>
          </w:tcPr>
          <w:p w14:paraId="5EFFE902">
            <w:pPr>
              <w:bidi w:val="0"/>
              <w:jc w:val="center"/>
              <w:rPr>
                <w:sz w:val="24"/>
                <w:szCs w:val="24"/>
                <w:highlight w:val="none"/>
              </w:rPr>
            </w:pPr>
            <w:r>
              <w:rPr>
                <w:spacing w:val="-3"/>
                <w:sz w:val="24"/>
                <w:szCs w:val="24"/>
                <w:highlight w:val="none"/>
              </w:rPr>
              <w:t>商务部</w:t>
            </w:r>
            <w:r>
              <w:rPr>
                <w:spacing w:val="-11"/>
                <w:sz w:val="24"/>
                <w:szCs w:val="24"/>
                <w:highlight w:val="none"/>
              </w:rPr>
              <w:t>分</w:t>
            </w:r>
            <w:r>
              <w:rPr>
                <w:spacing w:val="-28"/>
                <w:sz w:val="24"/>
                <w:szCs w:val="24"/>
                <w:highlight w:val="none"/>
              </w:rPr>
              <w:t xml:space="preserve"> </w:t>
            </w:r>
            <w:r>
              <w:rPr>
                <w:spacing w:val="-11"/>
                <w:sz w:val="24"/>
                <w:szCs w:val="24"/>
                <w:highlight w:val="none"/>
              </w:rPr>
              <w:t>12</w:t>
            </w:r>
            <w:r>
              <w:rPr>
                <w:spacing w:val="-41"/>
                <w:sz w:val="24"/>
                <w:szCs w:val="24"/>
                <w:highlight w:val="none"/>
              </w:rPr>
              <w:t xml:space="preserve"> </w:t>
            </w:r>
            <w:r>
              <w:rPr>
                <w:spacing w:val="-11"/>
                <w:sz w:val="24"/>
                <w:szCs w:val="24"/>
                <w:highlight w:val="none"/>
              </w:rPr>
              <w:t>分</w:t>
            </w:r>
          </w:p>
        </w:tc>
        <w:tc>
          <w:tcPr>
            <w:tcW w:w="803" w:type="dxa"/>
            <w:vAlign w:val="center"/>
          </w:tcPr>
          <w:p w14:paraId="59F57514">
            <w:pPr>
              <w:pStyle w:val="68"/>
              <w:spacing w:before="68" w:line="221" w:lineRule="auto"/>
              <w:jc w:val="center"/>
              <w:rPr>
                <w:spacing w:val="-8"/>
                <w:sz w:val="24"/>
                <w:szCs w:val="24"/>
                <w:highlight w:val="none"/>
              </w:rPr>
            </w:pPr>
            <w:r>
              <w:rPr>
                <w:spacing w:val="-7"/>
                <w:sz w:val="24"/>
                <w:szCs w:val="24"/>
                <w:highlight w:val="none"/>
              </w:rPr>
              <w:t>7</w:t>
            </w:r>
            <w:r>
              <w:rPr>
                <w:spacing w:val="-42"/>
                <w:sz w:val="24"/>
                <w:szCs w:val="24"/>
                <w:highlight w:val="none"/>
              </w:rPr>
              <w:t xml:space="preserve"> </w:t>
            </w:r>
            <w:r>
              <w:rPr>
                <w:spacing w:val="-7"/>
                <w:sz w:val="24"/>
                <w:szCs w:val="24"/>
                <w:highlight w:val="none"/>
              </w:rPr>
              <w:t>分</w:t>
            </w:r>
          </w:p>
        </w:tc>
        <w:tc>
          <w:tcPr>
            <w:tcW w:w="7892" w:type="dxa"/>
            <w:vAlign w:val="center"/>
          </w:tcPr>
          <w:p w14:paraId="55624C74">
            <w:pPr>
              <w:pStyle w:val="68"/>
              <w:spacing w:before="49" w:line="240" w:lineRule="auto"/>
              <w:ind w:left="22" w:right="9" w:firstLine="15"/>
              <w:jc w:val="both"/>
              <w:rPr>
                <w:sz w:val="24"/>
                <w:szCs w:val="24"/>
                <w:highlight w:val="none"/>
              </w:rPr>
            </w:pPr>
            <w:r>
              <w:rPr>
                <w:sz w:val="24"/>
                <w:szCs w:val="24"/>
                <w:highlight w:val="none"/>
              </w:rPr>
              <w:t>1、项目成员（不含项目负责人</w:t>
            </w:r>
            <w:r>
              <w:rPr>
                <w:spacing w:val="-4"/>
                <w:sz w:val="24"/>
                <w:szCs w:val="24"/>
                <w:highlight w:val="none"/>
              </w:rPr>
              <w:t>）：</w:t>
            </w:r>
            <w:r>
              <w:rPr>
                <w:sz w:val="24"/>
                <w:szCs w:val="24"/>
                <w:highlight w:val="none"/>
              </w:rPr>
              <w:t>每具有一名高级工程师或以上职称</w:t>
            </w:r>
            <w:r>
              <w:rPr>
                <w:spacing w:val="-1"/>
                <w:sz w:val="24"/>
                <w:szCs w:val="24"/>
                <w:highlight w:val="none"/>
              </w:rPr>
              <w:t>的，得1分；每具</w:t>
            </w:r>
            <w:r>
              <w:rPr>
                <w:spacing w:val="1"/>
                <w:sz w:val="24"/>
                <w:szCs w:val="24"/>
                <w:highlight w:val="none"/>
              </w:rPr>
              <w:t>有一名注册一级建造师或注册监理工程师资格的，得1分；本项最高得7分。</w:t>
            </w:r>
          </w:p>
          <w:p w14:paraId="2821A95A">
            <w:pPr>
              <w:pStyle w:val="68"/>
              <w:spacing w:before="32" w:line="240" w:lineRule="auto"/>
              <w:ind w:left="21" w:leftChars="0"/>
              <w:jc w:val="both"/>
              <w:rPr>
                <w:rFonts w:ascii="宋体" w:hAnsi="宋体" w:eastAsia="宋体" w:cs="宋体"/>
                <w:sz w:val="24"/>
                <w:szCs w:val="24"/>
                <w:highlight w:val="none"/>
              </w:rPr>
            </w:pPr>
            <w:r>
              <w:rPr>
                <w:b/>
                <w:bCs/>
                <w:spacing w:val="-1"/>
                <w:sz w:val="24"/>
                <w:szCs w:val="24"/>
                <w:highlight w:val="none"/>
              </w:rPr>
              <w:t>注：同一人员不重复计分。</w:t>
            </w:r>
          </w:p>
        </w:tc>
      </w:tr>
      <w:tr w14:paraId="46D489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951" w:type="dxa"/>
            <w:vMerge w:val="continue"/>
            <w:vAlign w:val="center"/>
          </w:tcPr>
          <w:p w14:paraId="0464DFC7">
            <w:pPr>
              <w:pStyle w:val="68"/>
              <w:spacing w:before="207" w:line="261" w:lineRule="auto"/>
              <w:ind w:right="6"/>
              <w:jc w:val="center"/>
              <w:rPr>
                <w:spacing w:val="-1"/>
                <w:sz w:val="24"/>
                <w:szCs w:val="24"/>
                <w:highlight w:val="none"/>
              </w:rPr>
            </w:pPr>
          </w:p>
        </w:tc>
        <w:tc>
          <w:tcPr>
            <w:tcW w:w="803" w:type="dxa"/>
            <w:vAlign w:val="center"/>
          </w:tcPr>
          <w:p w14:paraId="69E1BB96">
            <w:pPr>
              <w:pStyle w:val="68"/>
              <w:spacing w:before="68" w:line="221" w:lineRule="auto"/>
              <w:jc w:val="center"/>
              <w:rPr>
                <w:spacing w:val="-8"/>
                <w:sz w:val="24"/>
                <w:szCs w:val="24"/>
                <w:highlight w:val="none"/>
              </w:rPr>
            </w:pPr>
            <w:r>
              <w:rPr>
                <w:rFonts w:hint="eastAsia"/>
                <w:spacing w:val="-6"/>
                <w:sz w:val="24"/>
                <w:szCs w:val="24"/>
                <w:highlight w:val="none"/>
                <w:lang w:val="en-US" w:eastAsia="zh-CN"/>
              </w:rPr>
              <w:t>5</w:t>
            </w:r>
            <w:r>
              <w:rPr>
                <w:spacing w:val="-41"/>
                <w:sz w:val="24"/>
                <w:szCs w:val="24"/>
                <w:highlight w:val="none"/>
              </w:rPr>
              <w:t xml:space="preserve"> </w:t>
            </w:r>
            <w:r>
              <w:rPr>
                <w:spacing w:val="-6"/>
                <w:sz w:val="24"/>
                <w:szCs w:val="24"/>
                <w:highlight w:val="none"/>
              </w:rPr>
              <w:t>分</w:t>
            </w:r>
          </w:p>
        </w:tc>
        <w:tc>
          <w:tcPr>
            <w:tcW w:w="7892" w:type="dxa"/>
            <w:vAlign w:val="center"/>
          </w:tcPr>
          <w:p w14:paraId="0D9E3513">
            <w:pPr>
              <w:pStyle w:val="68"/>
              <w:spacing w:before="53" w:line="240" w:lineRule="auto"/>
              <w:ind w:left="26" w:right="71"/>
              <w:jc w:val="both"/>
              <w:rPr>
                <w:sz w:val="24"/>
                <w:szCs w:val="24"/>
                <w:highlight w:val="none"/>
              </w:rPr>
            </w:pPr>
            <w:r>
              <w:rPr>
                <w:rFonts w:hint="eastAsia"/>
                <w:spacing w:val="1"/>
                <w:sz w:val="24"/>
                <w:szCs w:val="24"/>
                <w:highlight w:val="none"/>
                <w:lang w:val="en-US" w:eastAsia="zh-CN"/>
              </w:rPr>
              <w:t>2</w:t>
            </w:r>
            <w:r>
              <w:rPr>
                <w:spacing w:val="1"/>
                <w:sz w:val="24"/>
                <w:szCs w:val="24"/>
                <w:highlight w:val="none"/>
              </w:rPr>
              <w:t>、项目组成员具有有效的相关专业资格证书</w:t>
            </w:r>
            <w:r>
              <w:rPr>
                <w:rFonts w:hint="eastAsia"/>
                <w:spacing w:val="1"/>
                <w:sz w:val="24"/>
                <w:szCs w:val="24"/>
                <w:highlight w:val="none"/>
                <w:lang w:eastAsia="zh-CN"/>
              </w:rPr>
              <w:t>（</w:t>
            </w:r>
            <w:r>
              <w:rPr>
                <w:rFonts w:hint="eastAsia"/>
                <w:spacing w:val="1"/>
                <w:sz w:val="24"/>
                <w:szCs w:val="24"/>
                <w:highlight w:val="none"/>
                <w:lang w:val="en-US" w:eastAsia="zh-CN"/>
              </w:rPr>
              <w:t>安全员、资料员、质量员等证书</w:t>
            </w:r>
            <w:r>
              <w:rPr>
                <w:rFonts w:hint="eastAsia"/>
                <w:spacing w:val="1"/>
                <w:sz w:val="24"/>
                <w:szCs w:val="24"/>
                <w:highlight w:val="none"/>
                <w:lang w:eastAsia="zh-CN"/>
              </w:rPr>
              <w:t>）</w:t>
            </w:r>
            <w:r>
              <w:rPr>
                <w:spacing w:val="1"/>
                <w:sz w:val="24"/>
                <w:szCs w:val="24"/>
                <w:highlight w:val="none"/>
              </w:rPr>
              <w:t>，</w:t>
            </w:r>
            <w:r>
              <w:rPr>
                <w:sz w:val="24"/>
                <w:szCs w:val="24"/>
                <w:highlight w:val="none"/>
              </w:rPr>
              <w:t>每有</w:t>
            </w:r>
            <w:r>
              <w:rPr>
                <w:rFonts w:hint="eastAsia"/>
                <w:sz w:val="24"/>
                <w:szCs w:val="24"/>
                <w:highlight w:val="none"/>
                <w:lang w:val="en-US" w:eastAsia="zh-CN"/>
              </w:rPr>
              <w:t>1</w:t>
            </w:r>
            <w:r>
              <w:rPr>
                <w:sz w:val="24"/>
                <w:szCs w:val="24"/>
                <w:highlight w:val="none"/>
              </w:rPr>
              <w:t>个加</w:t>
            </w:r>
            <w:r>
              <w:rPr>
                <w:rFonts w:hint="eastAsia"/>
                <w:sz w:val="24"/>
                <w:szCs w:val="24"/>
                <w:highlight w:val="none"/>
                <w:lang w:val="en-US" w:eastAsia="zh-CN"/>
              </w:rPr>
              <w:t>1</w:t>
            </w:r>
            <w:r>
              <w:rPr>
                <w:sz w:val="24"/>
                <w:szCs w:val="24"/>
                <w:highlight w:val="none"/>
              </w:rPr>
              <w:t>分，本项最高得</w:t>
            </w:r>
            <w:r>
              <w:rPr>
                <w:rFonts w:hint="eastAsia"/>
                <w:sz w:val="24"/>
                <w:szCs w:val="24"/>
                <w:highlight w:val="none"/>
                <w:lang w:val="en-US" w:eastAsia="zh-CN"/>
              </w:rPr>
              <w:t>5</w:t>
            </w:r>
            <w:r>
              <w:rPr>
                <w:sz w:val="24"/>
                <w:szCs w:val="24"/>
                <w:highlight w:val="none"/>
              </w:rPr>
              <w:t>分。</w:t>
            </w:r>
          </w:p>
          <w:p w14:paraId="142B412D">
            <w:pPr>
              <w:pStyle w:val="68"/>
              <w:spacing w:before="32" w:line="240" w:lineRule="auto"/>
              <w:ind w:left="21" w:leftChars="0" w:right="18" w:rightChars="0"/>
              <w:jc w:val="both"/>
              <w:rPr>
                <w:rFonts w:ascii="宋体" w:hAnsi="宋体" w:eastAsia="宋体" w:cs="宋体"/>
                <w:sz w:val="24"/>
                <w:szCs w:val="24"/>
                <w:highlight w:val="none"/>
              </w:rPr>
            </w:pPr>
            <w:r>
              <w:rPr>
                <w:b/>
                <w:bCs/>
                <w:spacing w:val="-2"/>
                <w:sz w:val="24"/>
                <w:szCs w:val="24"/>
                <w:highlight w:val="none"/>
              </w:rPr>
              <w:t>注：同一人员、同类证书不重复计分，需提供</w:t>
            </w:r>
            <w:r>
              <w:rPr>
                <w:b/>
                <w:bCs/>
                <w:spacing w:val="-3"/>
                <w:sz w:val="24"/>
                <w:szCs w:val="24"/>
                <w:highlight w:val="none"/>
              </w:rPr>
              <w:t>证书和劳务合同或外聘聘书，未提供或资料提</w:t>
            </w:r>
            <w:r>
              <w:rPr>
                <w:b/>
                <w:bCs/>
                <w:spacing w:val="-4"/>
                <w:sz w:val="24"/>
                <w:szCs w:val="24"/>
                <w:highlight w:val="none"/>
              </w:rPr>
              <w:t>供不全的不予加分。</w:t>
            </w:r>
          </w:p>
        </w:tc>
      </w:tr>
      <w:tr w14:paraId="7BECB2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1" w:hRule="atLeast"/>
        </w:trPr>
        <w:tc>
          <w:tcPr>
            <w:tcW w:w="951" w:type="dxa"/>
            <w:vMerge w:val="restart"/>
            <w:tcBorders>
              <w:bottom w:val="nil"/>
            </w:tcBorders>
            <w:vAlign w:val="center"/>
          </w:tcPr>
          <w:p w14:paraId="5D9B85BA">
            <w:pPr>
              <w:pStyle w:val="68"/>
              <w:spacing w:before="68" w:line="261" w:lineRule="auto"/>
              <w:ind w:right="6"/>
              <w:jc w:val="center"/>
              <w:rPr>
                <w:sz w:val="24"/>
                <w:szCs w:val="24"/>
                <w:highlight w:val="none"/>
              </w:rPr>
            </w:pPr>
            <w:r>
              <w:rPr>
                <w:spacing w:val="-2"/>
                <w:sz w:val="24"/>
                <w:szCs w:val="24"/>
                <w:highlight w:val="none"/>
              </w:rPr>
              <w:t>技术部</w:t>
            </w:r>
            <w:r>
              <w:rPr>
                <w:spacing w:val="-8"/>
                <w:sz w:val="24"/>
                <w:szCs w:val="24"/>
                <w:highlight w:val="none"/>
              </w:rPr>
              <w:t>分</w:t>
            </w:r>
            <w:r>
              <w:rPr>
                <w:spacing w:val="-39"/>
                <w:sz w:val="24"/>
                <w:szCs w:val="24"/>
                <w:highlight w:val="none"/>
              </w:rPr>
              <w:t xml:space="preserve"> </w:t>
            </w:r>
            <w:r>
              <w:rPr>
                <w:spacing w:val="-8"/>
                <w:sz w:val="24"/>
                <w:szCs w:val="24"/>
                <w:highlight w:val="none"/>
              </w:rPr>
              <w:t>78</w:t>
            </w:r>
            <w:r>
              <w:rPr>
                <w:spacing w:val="-41"/>
                <w:sz w:val="24"/>
                <w:szCs w:val="24"/>
                <w:highlight w:val="none"/>
              </w:rPr>
              <w:t xml:space="preserve"> </w:t>
            </w:r>
            <w:r>
              <w:rPr>
                <w:spacing w:val="-8"/>
                <w:sz w:val="24"/>
                <w:szCs w:val="24"/>
                <w:highlight w:val="none"/>
              </w:rPr>
              <w:t>分</w:t>
            </w:r>
          </w:p>
        </w:tc>
        <w:tc>
          <w:tcPr>
            <w:tcW w:w="803" w:type="dxa"/>
            <w:vAlign w:val="center"/>
          </w:tcPr>
          <w:p w14:paraId="0E28DE28">
            <w:pPr>
              <w:pStyle w:val="68"/>
              <w:spacing w:before="69" w:line="221" w:lineRule="auto"/>
              <w:jc w:val="center"/>
              <w:rPr>
                <w:sz w:val="24"/>
                <w:szCs w:val="24"/>
                <w:highlight w:val="none"/>
              </w:rPr>
            </w:pPr>
            <w:r>
              <w:rPr>
                <w:spacing w:val="-8"/>
                <w:sz w:val="24"/>
                <w:szCs w:val="24"/>
                <w:highlight w:val="none"/>
              </w:rPr>
              <w:t>15</w:t>
            </w:r>
            <w:r>
              <w:rPr>
                <w:spacing w:val="-42"/>
                <w:sz w:val="24"/>
                <w:szCs w:val="24"/>
                <w:highlight w:val="none"/>
              </w:rPr>
              <w:t xml:space="preserve"> </w:t>
            </w:r>
            <w:r>
              <w:rPr>
                <w:spacing w:val="-8"/>
                <w:sz w:val="24"/>
                <w:szCs w:val="24"/>
                <w:highlight w:val="none"/>
              </w:rPr>
              <w:t>分</w:t>
            </w:r>
          </w:p>
        </w:tc>
        <w:tc>
          <w:tcPr>
            <w:tcW w:w="7892" w:type="dxa"/>
            <w:vAlign w:val="center"/>
          </w:tcPr>
          <w:p w14:paraId="06926005">
            <w:pPr>
              <w:pStyle w:val="68"/>
              <w:spacing w:before="49" w:line="248" w:lineRule="auto"/>
              <w:ind w:left="22" w:right="9" w:firstLine="15"/>
              <w:jc w:val="both"/>
              <w:rPr>
                <w:rFonts w:ascii="宋体" w:hAnsi="宋体" w:eastAsia="宋体" w:cs="宋体"/>
                <w:sz w:val="24"/>
                <w:szCs w:val="24"/>
                <w:highlight w:val="none"/>
              </w:rPr>
            </w:pPr>
            <w:r>
              <w:rPr>
                <w:rFonts w:ascii="宋体" w:hAnsi="宋体" w:eastAsia="宋体" w:cs="宋体"/>
                <w:sz w:val="24"/>
                <w:szCs w:val="24"/>
                <w:highlight w:val="none"/>
              </w:rPr>
              <w:t>1、依据项目需求，对本项目工作特点、重点、难点等理解完善，对本项目熟悉、理解程度高，对本项目需求分析、实施方案、项目组织管理的完整性高、可行性强、严谨程度高的得满分，每有某一方面缺陷或不足扣1分，扣完为止。</w:t>
            </w:r>
          </w:p>
        </w:tc>
      </w:tr>
      <w:tr w14:paraId="26EA3E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5" w:hRule="atLeast"/>
        </w:trPr>
        <w:tc>
          <w:tcPr>
            <w:tcW w:w="951" w:type="dxa"/>
            <w:vMerge w:val="continue"/>
            <w:tcBorders>
              <w:top w:val="nil"/>
              <w:bottom w:val="nil"/>
            </w:tcBorders>
            <w:vAlign w:val="center"/>
          </w:tcPr>
          <w:p w14:paraId="213B81F8">
            <w:pPr>
              <w:jc w:val="center"/>
              <w:rPr>
                <w:rFonts w:ascii="Arial"/>
                <w:sz w:val="24"/>
                <w:szCs w:val="24"/>
                <w:highlight w:val="none"/>
              </w:rPr>
            </w:pPr>
          </w:p>
        </w:tc>
        <w:tc>
          <w:tcPr>
            <w:tcW w:w="803" w:type="dxa"/>
            <w:vAlign w:val="center"/>
          </w:tcPr>
          <w:p w14:paraId="3EE5237F">
            <w:pPr>
              <w:pStyle w:val="68"/>
              <w:spacing w:before="68" w:line="221" w:lineRule="auto"/>
              <w:jc w:val="center"/>
              <w:rPr>
                <w:sz w:val="24"/>
                <w:szCs w:val="24"/>
                <w:highlight w:val="none"/>
              </w:rPr>
            </w:pPr>
            <w:r>
              <w:rPr>
                <w:spacing w:val="-8"/>
                <w:sz w:val="24"/>
                <w:szCs w:val="24"/>
                <w:highlight w:val="none"/>
              </w:rPr>
              <w:t>18</w:t>
            </w:r>
            <w:r>
              <w:rPr>
                <w:spacing w:val="-42"/>
                <w:sz w:val="24"/>
                <w:szCs w:val="24"/>
                <w:highlight w:val="none"/>
              </w:rPr>
              <w:t xml:space="preserve"> </w:t>
            </w:r>
            <w:r>
              <w:rPr>
                <w:spacing w:val="-8"/>
                <w:sz w:val="24"/>
                <w:szCs w:val="24"/>
                <w:highlight w:val="none"/>
              </w:rPr>
              <w:t>分</w:t>
            </w:r>
          </w:p>
        </w:tc>
        <w:tc>
          <w:tcPr>
            <w:tcW w:w="7892" w:type="dxa"/>
            <w:vAlign w:val="center"/>
          </w:tcPr>
          <w:p w14:paraId="33C433A7">
            <w:pPr>
              <w:pStyle w:val="68"/>
              <w:spacing w:before="49" w:line="248" w:lineRule="auto"/>
              <w:ind w:left="22" w:right="9" w:firstLine="15"/>
              <w:jc w:val="both"/>
              <w:rPr>
                <w:rFonts w:ascii="宋体" w:hAnsi="宋体" w:eastAsia="宋体" w:cs="宋体"/>
                <w:sz w:val="24"/>
                <w:szCs w:val="24"/>
                <w:highlight w:val="none"/>
              </w:rPr>
            </w:pPr>
            <w:r>
              <w:rPr>
                <w:rFonts w:ascii="宋体" w:hAnsi="宋体" w:eastAsia="宋体" w:cs="宋体"/>
                <w:sz w:val="24"/>
                <w:szCs w:val="24"/>
                <w:highlight w:val="none"/>
              </w:rPr>
              <w:t>2、项目实施方案工作安排有针对性，符合本项目特点，科学有序、任务清晰，进度明确，时间规划合理，详细的可行性服务方案，项目实施过程管理规范的得满分，每有某一方面缺陷或不足扣 1分，扣完为止。</w:t>
            </w:r>
          </w:p>
        </w:tc>
      </w:tr>
      <w:tr w14:paraId="2ED195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951" w:type="dxa"/>
            <w:vMerge w:val="continue"/>
            <w:tcBorders>
              <w:top w:val="nil"/>
              <w:bottom w:val="nil"/>
            </w:tcBorders>
            <w:vAlign w:val="center"/>
          </w:tcPr>
          <w:p w14:paraId="1B6FD3D9">
            <w:pPr>
              <w:jc w:val="center"/>
              <w:rPr>
                <w:rFonts w:ascii="Arial"/>
                <w:sz w:val="24"/>
                <w:szCs w:val="24"/>
                <w:highlight w:val="none"/>
              </w:rPr>
            </w:pPr>
          </w:p>
        </w:tc>
        <w:tc>
          <w:tcPr>
            <w:tcW w:w="803" w:type="dxa"/>
            <w:vAlign w:val="center"/>
          </w:tcPr>
          <w:p w14:paraId="2D63E8D1">
            <w:pPr>
              <w:pStyle w:val="68"/>
              <w:spacing w:before="251" w:line="221" w:lineRule="auto"/>
              <w:jc w:val="center"/>
              <w:rPr>
                <w:sz w:val="24"/>
                <w:szCs w:val="24"/>
                <w:highlight w:val="none"/>
              </w:rPr>
            </w:pPr>
            <w:r>
              <w:rPr>
                <w:spacing w:val="-8"/>
                <w:sz w:val="24"/>
                <w:szCs w:val="24"/>
                <w:highlight w:val="none"/>
              </w:rPr>
              <w:t>10</w:t>
            </w:r>
            <w:r>
              <w:rPr>
                <w:spacing w:val="-42"/>
                <w:sz w:val="24"/>
                <w:szCs w:val="24"/>
                <w:highlight w:val="none"/>
              </w:rPr>
              <w:t xml:space="preserve"> </w:t>
            </w:r>
            <w:r>
              <w:rPr>
                <w:spacing w:val="-8"/>
                <w:sz w:val="24"/>
                <w:szCs w:val="24"/>
                <w:highlight w:val="none"/>
              </w:rPr>
              <w:t>分</w:t>
            </w:r>
          </w:p>
        </w:tc>
        <w:tc>
          <w:tcPr>
            <w:tcW w:w="7892" w:type="dxa"/>
            <w:vAlign w:val="center"/>
          </w:tcPr>
          <w:p w14:paraId="5B0B4048">
            <w:pPr>
              <w:pStyle w:val="68"/>
              <w:spacing w:before="49" w:line="248" w:lineRule="auto"/>
              <w:ind w:left="22" w:right="9" w:firstLine="15"/>
              <w:jc w:val="both"/>
              <w:rPr>
                <w:rFonts w:ascii="宋体" w:hAnsi="宋体" w:eastAsia="宋体" w:cs="宋体"/>
                <w:sz w:val="24"/>
                <w:szCs w:val="24"/>
                <w:highlight w:val="none"/>
              </w:rPr>
            </w:pPr>
            <w:r>
              <w:rPr>
                <w:rFonts w:ascii="宋体" w:hAnsi="宋体" w:eastAsia="宋体" w:cs="宋体"/>
                <w:sz w:val="24"/>
                <w:szCs w:val="24"/>
                <w:highlight w:val="none"/>
              </w:rPr>
              <w:t>3、阐述对该项目的理解和总体把握，提出的总体构思全面，制定的技术路线可行性强的得满分，每有某一方面缺陷或不足扣 1 分，扣完为止。</w:t>
            </w:r>
          </w:p>
        </w:tc>
      </w:tr>
      <w:tr w14:paraId="3CD007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951" w:type="dxa"/>
            <w:vMerge w:val="continue"/>
            <w:tcBorders>
              <w:top w:val="nil"/>
              <w:bottom w:val="nil"/>
            </w:tcBorders>
            <w:vAlign w:val="center"/>
          </w:tcPr>
          <w:p w14:paraId="6BEFC83C">
            <w:pPr>
              <w:jc w:val="center"/>
              <w:rPr>
                <w:rFonts w:ascii="Arial"/>
                <w:sz w:val="24"/>
                <w:szCs w:val="24"/>
                <w:highlight w:val="none"/>
              </w:rPr>
            </w:pPr>
          </w:p>
        </w:tc>
        <w:tc>
          <w:tcPr>
            <w:tcW w:w="803" w:type="dxa"/>
            <w:vAlign w:val="center"/>
          </w:tcPr>
          <w:p w14:paraId="3C70A0FC">
            <w:pPr>
              <w:pStyle w:val="68"/>
              <w:spacing w:before="251" w:line="221" w:lineRule="auto"/>
              <w:jc w:val="center"/>
              <w:rPr>
                <w:sz w:val="24"/>
                <w:szCs w:val="24"/>
                <w:highlight w:val="none"/>
              </w:rPr>
            </w:pPr>
            <w:r>
              <w:rPr>
                <w:spacing w:val="-8"/>
                <w:sz w:val="24"/>
                <w:szCs w:val="24"/>
                <w:highlight w:val="none"/>
              </w:rPr>
              <w:t>10</w:t>
            </w:r>
            <w:r>
              <w:rPr>
                <w:spacing w:val="-42"/>
                <w:sz w:val="24"/>
                <w:szCs w:val="24"/>
                <w:highlight w:val="none"/>
              </w:rPr>
              <w:t xml:space="preserve"> </w:t>
            </w:r>
            <w:r>
              <w:rPr>
                <w:spacing w:val="-8"/>
                <w:sz w:val="24"/>
                <w:szCs w:val="24"/>
                <w:highlight w:val="none"/>
              </w:rPr>
              <w:t>分</w:t>
            </w:r>
          </w:p>
        </w:tc>
        <w:tc>
          <w:tcPr>
            <w:tcW w:w="7892" w:type="dxa"/>
            <w:vAlign w:val="center"/>
          </w:tcPr>
          <w:p w14:paraId="36120F5D">
            <w:pPr>
              <w:pStyle w:val="68"/>
              <w:spacing w:before="49" w:line="248" w:lineRule="auto"/>
              <w:ind w:left="22" w:right="9" w:firstLine="15"/>
              <w:jc w:val="both"/>
              <w:rPr>
                <w:rFonts w:ascii="宋体" w:hAnsi="宋体" w:eastAsia="宋体" w:cs="宋体"/>
                <w:sz w:val="24"/>
                <w:szCs w:val="24"/>
                <w:highlight w:val="none"/>
              </w:rPr>
            </w:pPr>
            <w:r>
              <w:rPr>
                <w:rFonts w:ascii="宋体" w:hAnsi="宋体" w:eastAsia="宋体" w:cs="宋体"/>
                <w:sz w:val="24"/>
                <w:szCs w:val="24"/>
                <w:highlight w:val="none"/>
              </w:rPr>
              <w:t>4、具备承担任务所必需设备、设施、检测仪器、交通工具等不限于以上条件，服务的技术、组织保障措施合理、科学有效，科学完整的得满分，每有某一方面缺陷或不足扣 1 分，扣完为止。</w:t>
            </w:r>
          </w:p>
        </w:tc>
      </w:tr>
      <w:tr w14:paraId="6CACC9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951" w:type="dxa"/>
            <w:vMerge w:val="continue"/>
            <w:tcBorders>
              <w:top w:val="nil"/>
              <w:bottom w:val="nil"/>
            </w:tcBorders>
            <w:vAlign w:val="center"/>
          </w:tcPr>
          <w:p w14:paraId="1CC2A5FA">
            <w:pPr>
              <w:jc w:val="center"/>
              <w:rPr>
                <w:rFonts w:ascii="Arial"/>
                <w:sz w:val="24"/>
                <w:szCs w:val="24"/>
                <w:highlight w:val="none"/>
              </w:rPr>
            </w:pPr>
          </w:p>
        </w:tc>
        <w:tc>
          <w:tcPr>
            <w:tcW w:w="803" w:type="dxa"/>
            <w:vAlign w:val="center"/>
          </w:tcPr>
          <w:p w14:paraId="5B12793D">
            <w:pPr>
              <w:pStyle w:val="68"/>
              <w:spacing w:before="306" w:line="221" w:lineRule="auto"/>
              <w:jc w:val="center"/>
              <w:rPr>
                <w:sz w:val="24"/>
                <w:szCs w:val="24"/>
                <w:highlight w:val="none"/>
              </w:rPr>
            </w:pPr>
            <w:r>
              <w:rPr>
                <w:spacing w:val="-8"/>
                <w:sz w:val="24"/>
                <w:szCs w:val="24"/>
                <w:highlight w:val="none"/>
              </w:rPr>
              <w:t>15</w:t>
            </w:r>
            <w:r>
              <w:rPr>
                <w:spacing w:val="-42"/>
                <w:sz w:val="24"/>
                <w:szCs w:val="24"/>
                <w:highlight w:val="none"/>
              </w:rPr>
              <w:t xml:space="preserve"> </w:t>
            </w:r>
            <w:r>
              <w:rPr>
                <w:spacing w:val="-8"/>
                <w:sz w:val="24"/>
                <w:szCs w:val="24"/>
                <w:highlight w:val="none"/>
              </w:rPr>
              <w:t>分</w:t>
            </w:r>
          </w:p>
        </w:tc>
        <w:tc>
          <w:tcPr>
            <w:tcW w:w="7892" w:type="dxa"/>
            <w:vAlign w:val="center"/>
          </w:tcPr>
          <w:p w14:paraId="3E9C9EA2">
            <w:pPr>
              <w:pStyle w:val="68"/>
              <w:spacing w:before="49" w:line="248" w:lineRule="auto"/>
              <w:ind w:left="22" w:right="9" w:firstLine="15"/>
              <w:jc w:val="both"/>
              <w:rPr>
                <w:rFonts w:ascii="宋体" w:hAnsi="宋体" w:eastAsia="宋体" w:cs="宋体"/>
                <w:sz w:val="24"/>
                <w:szCs w:val="24"/>
                <w:highlight w:val="none"/>
              </w:rPr>
            </w:pPr>
            <w:r>
              <w:rPr>
                <w:rFonts w:ascii="宋体" w:hAnsi="宋体" w:eastAsia="宋体" w:cs="宋体"/>
                <w:sz w:val="24"/>
                <w:szCs w:val="24"/>
                <w:highlight w:val="none"/>
              </w:rPr>
              <w:t>5、配备的工作人员在数量多、专业领域上和达到的技术能力强、技术支持完善、专业配备合理、人员配备满足工作要求的得满分，每有某一方面缺陷或不足扣 1 分，扣完为止。</w:t>
            </w:r>
          </w:p>
        </w:tc>
      </w:tr>
      <w:tr w14:paraId="256A95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951" w:type="dxa"/>
            <w:vMerge w:val="continue"/>
            <w:tcBorders>
              <w:top w:val="nil"/>
            </w:tcBorders>
            <w:vAlign w:val="center"/>
          </w:tcPr>
          <w:p w14:paraId="20208154">
            <w:pPr>
              <w:jc w:val="center"/>
              <w:rPr>
                <w:rFonts w:ascii="Arial"/>
                <w:sz w:val="24"/>
                <w:szCs w:val="24"/>
                <w:highlight w:val="none"/>
              </w:rPr>
            </w:pPr>
          </w:p>
        </w:tc>
        <w:tc>
          <w:tcPr>
            <w:tcW w:w="803" w:type="dxa"/>
            <w:vAlign w:val="center"/>
          </w:tcPr>
          <w:p w14:paraId="26E0E8E7">
            <w:pPr>
              <w:pStyle w:val="68"/>
              <w:spacing w:before="216" w:line="221" w:lineRule="auto"/>
              <w:jc w:val="center"/>
              <w:rPr>
                <w:sz w:val="24"/>
                <w:szCs w:val="24"/>
                <w:highlight w:val="none"/>
              </w:rPr>
            </w:pPr>
            <w:r>
              <w:rPr>
                <w:spacing w:val="-8"/>
                <w:sz w:val="24"/>
                <w:szCs w:val="24"/>
                <w:highlight w:val="none"/>
              </w:rPr>
              <w:t>10</w:t>
            </w:r>
            <w:r>
              <w:rPr>
                <w:spacing w:val="-42"/>
                <w:sz w:val="24"/>
                <w:szCs w:val="24"/>
                <w:highlight w:val="none"/>
              </w:rPr>
              <w:t xml:space="preserve"> </w:t>
            </w:r>
            <w:r>
              <w:rPr>
                <w:spacing w:val="-8"/>
                <w:sz w:val="24"/>
                <w:szCs w:val="24"/>
                <w:highlight w:val="none"/>
              </w:rPr>
              <w:t>分</w:t>
            </w:r>
          </w:p>
        </w:tc>
        <w:tc>
          <w:tcPr>
            <w:tcW w:w="7892" w:type="dxa"/>
            <w:vAlign w:val="center"/>
          </w:tcPr>
          <w:p w14:paraId="723BF37B">
            <w:pPr>
              <w:pStyle w:val="68"/>
              <w:spacing w:before="49" w:line="248" w:lineRule="auto"/>
              <w:ind w:left="22" w:right="9" w:firstLine="15"/>
              <w:jc w:val="both"/>
              <w:rPr>
                <w:rFonts w:ascii="宋体" w:hAnsi="宋体" w:eastAsia="宋体" w:cs="宋体"/>
                <w:sz w:val="24"/>
                <w:szCs w:val="24"/>
                <w:highlight w:val="none"/>
              </w:rPr>
            </w:pPr>
            <w:r>
              <w:rPr>
                <w:rFonts w:ascii="宋体" w:hAnsi="宋体" w:eastAsia="宋体" w:cs="宋体"/>
                <w:sz w:val="24"/>
                <w:szCs w:val="24"/>
                <w:highlight w:val="none"/>
              </w:rPr>
              <w:t>6、完成此项目的质量</w:t>
            </w:r>
            <w:r>
              <w:rPr>
                <w:rFonts w:hint="eastAsia" w:cs="宋体"/>
                <w:sz w:val="24"/>
                <w:szCs w:val="24"/>
                <w:highlight w:val="none"/>
                <w:lang w:eastAsia="zh-CN"/>
              </w:rPr>
              <w:t>，</w:t>
            </w:r>
            <w:r>
              <w:rPr>
                <w:rFonts w:ascii="宋体" w:hAnsi="宋体" w:eastAsia="宋体" w:cs="宋体"/>
                <w:sz w:val="24"/>
                <w:szCs w:val="24"/>
                <w:highlight w:val="none"/>
              </w:rPr>
              <w:t>提出项目各阶段详细具体的交付成果，交付清单明确、覆盖全面的得满分，每有某一方面缺陷或不足扣 1 分，扣完为止。</w:t>
            </w:r>
          </w:p>
        </w:tc>
      </w:tr>
    </w:tbl>
    <w:p w14:paraId="6E05BCC6">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注：</w:t>
      </w:r>
      <w:bookmarkStart w:id="626" w:name="_Toc2902"/>
      <w:r>
        <w:rPr>
          <w:rFonts w:hint="eastAsia"/>
          <w:b/>
          <w:bCs/>
          <w:color w:val="000000" w:themeColor="text1"/>
          <w:highlight w:val="none"/>
          <w14:textFill>
            <w14:solidFill>
              <w14:schemeClr w14:val="tx1"/>
            </w14:solidFill>
          </w14:textFill>
        </w:rPr>
        <w:t>1.供应商的综合得分分值计算保留到小数点后两位数，第三位四舍五入；</w:t>
      </w:r>
    </w:p>
    <w:p w14:paraId="6D27DDFB">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b/>
          <w:bCs/>
          <w:highlight w:val="none"/>
        </w:rPr>
      </w:pPr>
      <w:r>
        <w:rPr>
          <w:rFonts w:hint="eastAsia"/>
          <w:b/>
          <w:bCs/>
          <w:color w:val="000000" w:themeColor="text1"/>
          <w:highlight w:val="none"/>
          <w14:textFill>
            <w14:solidFill>
              <w14:schemeClr w14:val="tx1"/>
            </w14:solidFill>
          </w14:textFill>
        </w:rPr>
        <w:t>2.以上所有打分项目中涉及到加分的所有证书及证明材料须将原件的扫描件做入响应文件中，否则不得分。</w:t>
      </w:r>
    </w:p>
    <w:p w14:paraId="09C81BE5">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b/>
          <w:bCs/>
          <w:kern w:val="0"/>
          <w:sz w:val="28"/>
          <w:highlight w:val="none"/>
        </w:rPr>
      </w:pPr>
      <w:r>
        <w:rPr>
          <w:rFonts w:hint="eastAsia"/>
          <w:b/>
          <w:bCs/>
          <w:highlight w:val="none"/>
        </w:rPr>
        <w:t>3.若供应商提供虚假资料谋取成交，一经核实，磋商小组有权对其做无效响应处理；若成交供应商提供的资料存在虚假情况，一经查实，采购人有权单方面解除合同，由此引起的一切后果由成交供应商承担。</w:t>
      </w:r>
      <w:bookmarkEnd w:id="626"/>
      <w:bookmarkStart w:id="627" w:name="_Toc17510"/>
      <w:bookmarkStart w:id="628" w:name="_Toc25056"/>
      <w:bookmarkStart w:id="629" w:name="_Toc2520"/>
      <w:bookmarkStart w:id="630" w:name="_Toc7192"/>
      <w:bookmarkStart w:id="631" w:name="_Toc23976"/>
      <w:bookmarkStart w:id="632" w:name="_Toc25539"/>
      <w:bookmarkStart w:id="633" w:name="_Toc25730"/>
      <w:bookmarkStart w:id="634" w:name="_Toc16715"/>
      <w:bookmarkStart w:id="635" w:name="_Toc24920"/>
      <w:bookmarkStart w:id="636" w:name="_Toc1849"/>
      <w:bookmarkStart w:id="637" w:name="_Toc23020"/>
      <w:bookmarkStart w:id="638" w:name="_Toc21060"/>
    </w:p>
    <w:p w14:paraId="01CCDD8C">
      <w:pPr>
        <w:jc w:val="center"/>
        <w:outlineLvl w:val="2"/>
        <w:rPr>
          <w:rFonts w:hint="eastAsia"/>
          <w:b/>
          <w:bCs/>
          <w:kern w:val="0"/>
          <w:sz w:val="28"/>
          <w:highlight w:val="none"/>
        </w:rPr>
      </w:pPr>
      <w:bookmarkStart w:id="639" w:name="_Toc26717"/>
      <w:r>
        <w:rPr>
          <w:rFonts w:hint="eastAsia"/>
          <w:b/>
          <w:bCs/>
          <w:kern w:val="0"/>
          <w:sz w:val="28"/>
          <w:highlight w:val="none"/>
        </w:rPr>
        <w:t>（三）</w:t>
      </w:r>
      <w:bookmarkEnd w:id="627"/>
      <w:bookmarkEnd w:id="628"/>
      <w:bookmarkEnd w:id="629"/>
      <w:bookmarkEnd w:id="630"/>
      <w:bookmarkEnd w:id="631"/>
      <w:bookmarkEnd w:id="632"/>
      <w:bookmarkEnd w:id="633"/>
      <w:r>
        <w:rPr>
          <w:rFonts w:hint="eastAsia"/>
          <w:b/>
          <w:bCs/>
          <w:kern w:val="0"/>
          <w:sz w:val="28"/>
          <w:highlight w:val="none"/>
        </w:rPr>
        <w:t>政府采购政策</w:t>
      </w:r>
      <w:bookmarkEnd w:id="634"/>
      <w:bookmarkEnd w:id="635"/>
      <w:bookmarkEnd w:id="636"/>
      <w:bookmarkEnd w:id="637"/>
      <w:bookmarkEnd w:id="638"/>
      <w:bookmarkEnd w:id="639"/>
    </w:p>
    <w:tbl>
      <w:tblPr>
        <w:tblStyle w:val="30"/>
        <w:tblW w:w="9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8" w:type="dxa"/>
          <w:left w:w="108" w:type="dxa"/>
          <w:bottom w:w="108" w:type="dxa"/>
          <w:right w:w="108" w:type="dxa"/>
        </w:tblCellMar>
      </w:tblPr>
      <w:tblGrid>
        <w:gridCol w:w="2755"/>
        <w:gridCol w:w="6965"/>
      </w:tblGrid>
      <w:tr w14:paraId="7348C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left w:w="108" w:type="dxa"/>
            <w:bottom w:w="108" w:type="dxa"/>
            <w:right w:w="108" w:type="dxa"/>
          </w:tblCellMar>
        </w:tblPrEx>
        <w:trPr>
          <w:trHeight w:val="0" w:hRule="atLeast"/>
          <w:jc w:val="center"/>
        </w:trPr>
        <w:tc>
          <w:tcPr>
            <w:tcW w:w="2755" w:type="dxa"/>
            <w:noWrap w:val="0"/>
            <w:vAlign w:val="center"/>
          </w:tcPr>
          <w:p w14:paraId="09389DD0">
            <w:pPr>
              <w:keepNext w:val="0"/>
              <w:keepLines w:val="0"/>
              <w:suppressLineNumbers w:val="0"/>
              <w:snapToGrid w:val="0"/>
              <w:spacing w:before="156" w:beforeLines="50" w:beforeAutospacing="0" w:after="156" w:afterLines="50" w:afterAutospacing="0" w:line="240" w:lineRule="auto"/>
              <w:ind w:left="0" w:right="0"/>
              <w:textAlignment w:val="baseline"/>
              <w:rPr>
                <w:rFonts w:hint="eastAsia" w:ascii="宋体" w:hAnsi="宋体" w:eastAsia="宋体" w:cs="宋体"/>
                <w:color w:val="auto"/>
                <w:sz w:val="20"/>
                <w:highlight w:val="none"/>
              </w:rPr>
            </w:pPr>
            <w:r>
              <w:rPr>
                <w:rFonts w:hint="eastAsia" w:ascii="宋体" w:hAnsi="宋体" w:eastAsia="宋体" w:cs="宋体"/>
                <w:color w:val="auto"/>
                <w:highlight w:val="none"/>
              </w:rPr>
              <w:t>环境标志产品有关政策</w:t>
            </w:r>
          </w:p>
        </w:tc>
        <w:tc>
          <w:tcPr>
            <w:tcW w:w="6965" w:type="dxa"/>
            <w:noWrap w:val="0"/>
            <w:vAlign w:val="center"/>
          </w:tcPr>
          <w:p w14:paraId="38272C59">
            <w:pPr>
              <w:keepNext w:val="0"/>
              <w:keepLines w:val="0"/>
              <w:suppressLineNumbers w:val="0"/>
              <w:spacing w:before="156" w:beforeLines="50" w:beforeAutospacing="0" w:after="156" w:afterLines="50" w:afterAutospacing="0" w:line="240" w:lineRule="auto"/>
              <w:ind w:left="0" w:right="0"/>
              <w:rPr>
                <w:rFonts w:hint="eastAsia" w:ascii="宋体" w:hAnsi="宋体" w:eastAsia="宋体" w:cs="宋体"/>
                <w:color w:val="auto"/>
                <w:highlight w:val="none"/>
              </w:rPr>
            </w:pPr>
            <w:r>
              <w:rPr>
                <w:rFonts w:hint="eastAsia" w:ascii="宋体" w:hAnsi="宋体" w:eastAsia="宋体" w:cs="宋体"/>
                <w:color w:val="auto"/>
                <w:highlight w:val="none"/>
              </w:rPr>
              <w:t>环境标志产品是指财政部、国家环保总局制定的《环境标志产品政府采购品目清单》且经过认证的环境标志产品。本项目评标委员会在评标时将按《山东省节能环保产品政府采购评审办法》进行相关扣除或加分。</w:t>
            </w:r>
          </w:p>
        </w:tc>
      </w:tr>
      <w:tr w14:paraId="7E414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left w:w="108" w:type="dxa"/>
            <w:bottom w:w="108" w:type="dxa"/>
            <w:right w:w="108" w:type="dxa"/>
          </w:tblCellMar>
        </w:tblPrEx>
        <w:trPr>
          <w:trHeight w:val="0" w:hRule="atLeast"/>
          <w:jc w:val="center"/>
        </w:trPr>
        <w:tc>
          <w:tcPr>
            <w:tcW w:w="2755" w:type="dxa"/>
            <w:noWrap w:val="0"/>
            <w:vAlign w:val="center"/>
          </w:tcPr>
          <w:p w14:paraId="27E1888B">
            <w:pPr>
              <w:keepNext w:val="0"/>
              <w:keepLines w:val="0"/>
              <w:suppressLineNumbers w:val="0"/>
              <w:snapToGrid w:val="0"/>
              <w:spacing w:before="156" w:beforeLines="50" w:beforeAutospacing="0" w:after="156" w:afterLines="50" w:afterAutospacing="0" w:line="240" w:lineRule="auto"/>
              <w:ind w:left="0" w:right="0"/>
              <w:textAlignment w:val="baseline"/>
              <w:rPr>
                <w:rFonts w:hint="eastAsia" w:ascii="宋体" w:hAnsi="宋体" w:eastAsia="宋体" w:cs="宋体"/>
                <w:color w:val="auto"/>
                <w:sz w:val="20"/>
                <w:highlight w:val="none"/>
              </w:rPr>
            </w:pPr>
            <w:r>
              <w:rPr>
                <w:rFonts w:hint="eastAsia" w:ascii="宋体" w:hAnsi="宋体" w:eastAsia="宋体" w:cs="宋体"/>
                <w:color w:val="auto"/>
                <w:highlight w:val="none"/>
              </w:rPr>
              <w:t>节能产品有关政策</w:t>
            </w:r>
          </w:p>
        </w:tc>
        <w:tc>
          <w:tcPr>
            <w:tcW w:w="6965" w:type="dxa"/>
            <w:noWrap w:val="0"/>
            <w:vAlign w:val="center"/>
          </w:tcPr>
          <w:p w14:paraId="6B156A8D">
            <w:pPr>
              <w:keepNext w:val="0"/>
              <w:keepLines w:val="0"/>
              <w:suppressLineNumbers w:val="0"/>
              <w:spacing w:before="156" w:beforeLines="50" w:beforeAutospacing="0" w:after="156" w:afterLines="50" w:afterAutospacing="0" w:line="240" w:lineRule="auto"/>
              <w:ind w:left="0" w:right="0"/>
              <w:rPr>
                <w:rFonts w:hint="eastAsia" w:ascii="宋体" w:hAnsi="宋体" w:eastAsia="宋体" w:cs="宋体"/>
                <w:color w:val="auto"/>
                <w:highlight w:val="none"/>
              </w:rPr>
            </w:pPr>
            <w:r>
              <w:rPr>
                <w:rFonts w:hint="eastAsia" w:ascii="宋体" w:hAnsi="宋体" w:eastAsia="宋体" w:cs="宋体"/>
                <w:color w:val="auto"/>
                <w:highlight w:val="none"/>
              </w:rPr>
              <w:t>节能产品指列入财政部、国家发展和</w:t>
            </w:r>
            <w:r>
              <w:rPr>
                <w:rFonts w:hint="eastAsia" w:cs="宋体"/>
                <w:color w:val="auto"/>
                <w:highlight w:val="none"/>
                <w:lang w:eastAsia="zh-CN"/>
              </w:rPr>
              <w:t>改革委员会</w:t>
            </w:r>
            <w:r>
              <w:rPr>
                <w:rFonts w:hint="eastAsia" w:ascii="宋体" w:hAnsi="宋体" w:eastAsia="宋体" w:cs="宋体"/>
                <w:color w:val="auto"/>
                <w:highlight w:val="none"/>
              </w:rPr>
              <w:t>制定的《节能产品政府采购品目清单》，且经过认证的节能产品。本项目评标委员会在评标时将将按《山东省节能环保产品政府采购评审办法》进行相关扣除或加分。属于政府强制采购节能产品的，必须填写强制节能产品明细表，否则按无效报价处理。</w:t>
            </w:r>
          </w:p>
        </w:tc>
      </w:tr>
    </w:tbl>
    <w:p w14:paraId="51842AF6">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节能环保产品扣除或加分：</w:t>
      </w:r>
    </w:p>
    <w:p w14:paraId="43C84C0B">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根据《山东省节能环保产品政府采购评审办法》规定在价格</w:t>
      </w:r>
      <w:r>
        <w:rPr>
          <w:rFonts w:hint="eastAsia" w:ascii="宋体" w:hAnsi="宋体" w:eastAsia="宋体" w:cs="宋体"/>
          <w:b w:val="0"/>
          <w:bCs w:val="0"/>
          <w:color w:val="auto"/>
          <w:sz w:val="24"/>
          <w:highlight w:val="none"/>
          <w:lang w:eastAsia="zh-CN"/>
        </w:rPr>
        <w:t>评标</w:t>
      </w:r>
      <w:r>
        <w:rPr>
          <w:rFonts w:hint="eastAsia" w:ascii="宋体" w:hAnsi="宋体" w:eastAsia="宋体" w:cs="宋体"/>
          <w:color w:val="auto"/>
          <w:highlight w:val="none"/>
        </w:rPr>
        <w:t>项中，对节能、环保产品（强制节能产品除外）在</w:t>
      </w:r>
      <w:r>
        <w:rPr>
          <w:rFonts w:hint="eastAsia" w:ascii="宋体" w:hAnsi="宋体" w:eastAsia="宋体" w:cs="宋体"/>
          <w:b w:val="0"/>
          <w:bCs w:val="0"/>
          <w:color w:val="auto"/>
          <w:sz w:val="24"/>
          <w:highlight w:val="none"/>
          <w:lang w:eastAsia="zh-CN"/>
        </w:rPr>
        <w:t>评标</w:t>
      </w:r>
      <w:r>
        <w:rPr>
          <w:rFonts w:hint="eastAsia" w:ascii="宋体" w:hAnsi="宋体" w:eastAsia="宋体" w:cs="宋体"/>
          <w:color w:val="auto"/>
          <w:highlight w:val="none"/>
        </w:rPr>
        <w:t xml:space="preserve">时给予相关扣除或加分： </w:t>
      </w:r>
    </w:p>
    <w:p w14:paraId="657B5D93">
      <w:pPr>
        <w:keepNext w:val="0"/>
        <w:keepLines w:val="0"/>
        <w:pageBreakBefore w:val="0"/>
        <w:widowControl w:val="0"/>
        <w:kinsoku/>
        <w:wordWrap/>
        <w:overflowPunct/>
        <w:topLinePunct w:val="0"/>
        <w:autoSpaceDE/>
        <w:autoSpaceDN/>
        <w:bidi w:val="0"/>
        <w:adjustRightInd/>
        <w:snapToGrid/>
        <w:spacing w:line="312" w:lineRule="auto"/>
        <w:ind w:left="240" w:leftChars="100"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.1采用最低评标价法评标时按以下规则进行扣除：</w:t>
      </w:r>
    </w:p>
    <w:p w14:paraId="6AC610CD">
      <w:pPr>
        <w:keepNext w:val="0"/>
        <w:keepLines w:val="0"/>
        <w:pageBreakBefore w:val="0"/>
        <w:widowControl w:val="0"/>
        <w:kinsoku/>
        <w:wordWrap/>
        <w:overflowPunct/>
        <w:topLinePunct w:val="0"/>
        <w:autoSpaceDE/>
        <w:autoSpaceDN/>
        <w:bidi w:val="0"/>
        <w:adjustRightInd/>
        <w:snapToGrid/>
        <w:spacing w:line="312" w:lineRule="auto"/>
        <w:ind w:left="240" w:leftChars="100"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参与</w:t>
      </w:r>
      <w:r>
        <w:rPr>
          <w:rFonts w:hint="eastAsia" w:ascii="宋体" w:hAnsi="宋体" w:eastAsia="宋体" w:cs="宋体"/>
          <w:b w:val="0"/>
          <w:bCs w:val="0"/>
          <w:color w:val="auto"/>
          <w:sz w:val="24"/>
          <w:highlight w:val="none"/>
          <w:lang w:eastAsia="zh-CN"/>
        </w:rPr>
        <w:t>评标</w:t>
      </w:r>
      <w:r>
        <w:rPr>
          <w:rFonts w:hint="eastAsia" w:ascii="宋体" w:hAnsi="宋体" w:eastAsia="宋体" w:cs="宋体"/>
          <w:color w:val="auto"/>
          <w:highlight w:val="none"/>
          <w:lang w:eastAsia="zh-CN"/>
        </w:rPr>
        <w:t>的报价</w:t>
      </w:r>
      <w:r>
        <w:rPr>
          <w:rFonts w:hint="eastAsia" w:ascii="宋体" w:hAnsi="宋体" w:eastAsia="宋体" w:cs="宋体"/>
          <w:color w:val="auto"/>
          <w:highlight w:val="none"/>
        </w:rPr>
        <w:t>=</w:t>
      </w:r>
      <w:r>
        <w:rPr>
          <w:rFonts w:hint="eastAsia" w:cs="宋体"/>
          <w:color w:val="auto"/>
          <w:highlight w:val="none"/>
          <w:lang w:eastAsia="zh-CN"/>
        </w:rPr>
        <w:t>投标人</w:t>
      </w:r>
      <w:r>
        <w:rPr>
          <w:rFonts w:hint="eastAsia" w:ascii="宋体" w:hAnsi="宋体" w:eastAsia="宋体" w:cs="宋体"/>
          <w:color w:val="auto"/>
          <w:highlight w:val="none"/>
        </w:rPr>
        <w:t>的</w:t>
      </w:r>
      <w:r>
        <w:rPr>
          <w:rFonts w:hint="eastAsia" w:cs="宋体"/>
          <w:color w:val="auto"/>
          <w:highlight w:val="none"/>
          <w:lang w:eastAsia="zh-CN"/>
        </w:rPr>
        <w:t>投标报价</w:t>
      </w:r>
      <w:r>
        <w:rPr>
          <w:rFonts w:hint="eastAsia" w:ascii="宋体" w:hAnsi="宋体" w:eastAsia="宋体" w:cs="宋体"/>
          <w:color w:val="auto"/>
          <w:highlight w:val="none"/>
        </w:rPr>
        <w:t>×95%</w:t>
      </w:r>
    </w:p>
    <w:p w14:paraId="17AB2833">
      <w:pPr>
        <w:keepNext w:val="0"/>
        <w:keepLines w:val="0"/>
        <w:pageBreakBefore w:val="0"/>
        <w:widowControl w:val="0"/>
        <w:kinsoku/>
        <w:wordWrap/>
        <w:overflowPunct/>
        <w:topLinePunct w:val="0"/>
        <w:autoSpaceDE/>
        <w:autoSpaceDN/>
        <w:bidi w:val="0"/>
        <w:adjustRightInd/>
        <w:snapToGrid/>
        <w:spacing w:line="312" w:lineRule="auto"/>
        <w:ind w:left="240" w:leftChars="100"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.2采用综合评分法</w:t>
      </w:r>
      <w:r>
        <w:rPr>
          <w:rFonts w:hint="eastAsia" w:ascii="宋体" w:hAnsi="宋体" w:eastAsia="宋体" w:cs="宋体"/>
          <w:b w:val="0"/>
          <w:bCs w:val="0"/>
          <w:color w:val="auto"/>
          <w:sz w:val="24"/>
          <w:highlight w:val="none"/>
          <w:lang w:eastAsia="zh-CN"/>
        </w:rPr>
        <w:t>评标</w:t>
      </w:r>
      <w:r>
        <w:rPr>
          <w:rFonts w:hint="eastAsia" w:ascii="宋体" w:hAnsi="宋体" w:eastAsia="宋体" w:cs="宋体"/>
          <w:color w:val="auto"/>
          <w:highlight w:val="none"/>
        </w:rPr>
        <w:t>时按以下规则进行加分：</w:t>
      </w:r>
    </w:p>
    <w:p w14:paraId="78574E29">
      <w:pPr>
        <w:keepNext w:val="0"/>
        <w:keepLines w:val="0"/>
        <w:pageBreakBefore w:val="0"/>
        <w:widowControl w:val="0"/>
        <w:kinsoku/>
        <w:wordWrap/>
        <w:overflowPunct/>
        <w:topLinePunct w:val="0"/>
        <w:autoSpaceDE/>
        <w:autoSpaceDN/>
        <w:bidi w:val="0"/>
        <w:adjustRightInd/>
        <w:snapToGrid/>
        <w:spacing w:line="312" w:lineRule="auto"/>
        <w:ind w:left="240" w:leftChars="100"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（1）在价格</w:t>
      </w:r>
      <w:r>
        <w:rPr>
          <w:rFonts w:hint="eastAsia" w:ascii="宋体" w:hAnsi="宋体" w:eastAsia="宋体" w:cs="宋体"/>
          <w:b w:val="0"/>
          <w:bCs w:val="0"/>
          <w:color w:val="auto"/>
          <w:sz w:val="24"/>
          <w:highlight w:val="none"/>
          <w:lang w:eastAsia="zh-CN"/>
        </w:rPr>
        <w:t>评标</w:t>
      </w:r>
      <w:r>
        <w:rPr>
          <w:rFonts w:hint="eastAsia" w:ascii="宋体" w:hAnsi="宋体" w:eastAsia="宋体" w:cs="宋体"/>
          <w:color w:val="auto"/>
          <w:highlight w:val="none"/>
        </w:rPr>
        <w:t>项中加分=报价部分得分×4%×（节能、环保产品合计报价/总报价）。</w:t>
      </w:r>
    </w:p>
    <w:p w14:paraId="39E72C48">
      <w:pPr>
        <w:numPr>
          <w:ilvl w:val="0"/>
          <w:numId w:val="0"/>
        </w:numPr>
        <w:ind w:leftChars="0" w:firstLine="720" w:firstLineChars="300"/>
        <w:rPr>
          <w:rFonts w:hint="eastAsia" w:ascii="宋体" w:hAnsi="宋体" w:eastAsia="宋体" w:cs="宋体"/>
          <w:b/>
          <w:bCs/>
          <w:highlight w:val="none"/>
          <w:lang w:val="en-US" w:eastAsia="zh-CN"/>
        </w:rPr>
      </w:pPr>
      <w:r>
        <w:rPr>
          <w:rFonts w:hint="eastAsia" w:ascii="宋体" w:hAnsi="宋体" w:eastAsia="宋体" w:cs="宋体"/>
          <w:color w:val="auto"/>
          <w:highlight w:val="none"/>
        </w:rPr>
        <w:t>（2）在技术</w:t>
      </w:r>
      <w:r>
        <w:rPr>
          <w:rFonts w:hint="eastAsia" w:ascii="宋体" w:hAnsi="宋体" w:eastAsia="宋体" w:cs="宋体"/>
          <w:b w:val="0"/>
          <w:bCs w:val="0"/>
          <w:color w:val="auto"/>
          <w:sz w:val="24"/>
          <w:highlight w:val="none"/>
          <w:lang w:eastAsia="zh-CN"/>
        </w:rPr>
        <w:t>评标</w:t>
      </w:r>
      <w:r>
        <w:rPr>
          <w:rFonts w:hint="eastAsia" w:ascii="宋体" w:hAnsi="宋体" w:eastAsia="宋体" w:cs="宋体"/>
          <w:color w:val="auto"/>
          <w:highlight w:val="none"/>
        </w:rPr>
        <w:t>项中加分=技术部分得分×4%×（节能、环保产品合计报价/总报价）。</w:t>
      </w:r>
    </w:p>
    <w:p w14:paraId="57FF587D">
      <w:pPr>
        <w:rPr>
          <w:rFonts w:hint="eastAsia"/>
          <w:highlight w:val="none"/>
        </w:rPr>
      </w:pPr>
      <w:r>
        <w:rPr>
          <w:rFonts w:hint="eastAsia"/>
          <w:highlight w:val="none"/>
        </w:rPr>
        <w:br w:type="page"/>
      </w:r>
    </w:p>
    <w:p w14:paraId="79F2A034">
      <w:pPr>
        <w:pStyle w:val="2"/>
        <w:rPr>
          <w:rFonts w:hint="eastAsia"/>
          <w:highlight w:val="none"/>
        </w:rPr>
      </w:pPr>
      <w:bookmarkStart w:id="640" w:name="_Toc26225"/>
      <w:bookmarkStart w:id="641" w:name="_Toc5144"/>
      <w:bookmarkStart w:id="642" w:name="_Toc7180"/>
      <w:bookmarkStart w:id="643" w:name="_Toc27688"/>
      <w:bookmarkStart w:id="644" w:name="_Toc7673"/>
      <w:r>
        <w:rPr>
          <w:rFonts w:hint="eastAsia"/>
          <w:highlight w:val="none"/>
        </w:rPr>
        <w:t>第6章 响应文件格式</w:t>
      </w:r>
      <w:bookmarkEnd w:id="622"/>
      <w:bookmarkEnd w:id="623"/>
      <w:bookmarkEnd w:id="624"/>
      <w:bookmarkEnd w:id="625"/>
      <w:bookmarkEnd w:id="640"/>
      <w:bookmarkEnd w:id="641"/>
      <w:bookmarkEnd w:id="642"/>
      <w:bookmarkEnd w:id="643"/>
      <w:bookmarkEnd w:id="644"/>
    </w:p>
    <w:p w14:paraId="6BF8E133">
      <w:pPr>
        <w:jc w:val="center"/>
        <w:outlineLvl w:val="1"/>
        <w:rPr>
          <w:rFonts w:hint="eastAsia"/>
          <w:b/>
          <w:bCs/>
          <w:sz w:val="32"/>
          <w:szCs w:val="32"/>
          <w:highlight w:val="none"/>
        </w:rPr>
      </w:pPr>
      <w:bookmarkStart w:id="645" w:name="_Toc56"/>
      <w:bookmarkStart w:id="646" w:name="_Toc28015"/>
      <w:bookmarkStart w:id="647" w:name="_Toc21164"/>
      <w:bookmarkStart w:id="648" w:name="_Toc2149"/>
      <w:bookmarkStart w:id="649" w:name="_Toc46235127"/>
    </w:p>
    <w:p w14:paraId="45E45A89">
      <w:pPr>
        <w:jc w:val="center"/>
        <w:outlineLvl w:val="1"/>
        <w:rPr>
          <w:rFonts w:hint="eastAsia"/>
          <w:b/>
          <w:bCs/>
          <w:sz w:val="32"/>
          <w:szCs w:val="32"/>
          <w:highlight w:val="none"/>
        </w:rPr>
      </w:pPr>
      <w:bookmarkStart w:id="650" w:name="_Toc6391"/>
      <w:bookmarkStart w:id="651" w:name="_Toc29170"/>
      <w:bookmarkStart w:id="652" w:name="_Toc4"/>
      <w:bookmarkStart w:id="653" w:name="_Toc167"/>
      <w:bookmarkStart w:id="654" w:name="_Toc7230"/>
      <w:bookmarkStart w:id="655" w:name="_Toc10487"/>
      <w:r>
        <w:rPr>
          <w:rFonts w:hint="eastAsia"/>
          <w:b/>
          <w:bCs/>
          <w:sz w:val="32"/>
          <w:szCs w:val="32"/>
          <w:highlight w:val="none"/>
        </w:rPr>
        <w:t>一、封面格式</w:t>
      </w:r>
      <w:bookmarkEnd w:id="645"/>
      <w:bookmarkEnd w:id="646"/>
      <w:bookmarkEnd w:id="647"/>
      <w:bookmarkEnd w:id="648"/>
      <w:bookmarkEnd w:id="649"/>
      <w:bookmarkEnd w:id="650"/>
      <w:bookmarkEnd w:id="651"/>
      <w:bookmarkEnd w:id="652"/>
      <w:bookmarkEnd w:id="653"/>
      <w:bookmarkEnd w:id="654"/>
      <w:bookmarkEnd w:id="655"/>
      <w:bookmarkStart w:id="656" w:name="_Toc518923108"/>
      <w:bookmarkStart w:id="657" w:name="_Toc2507"/>
      <w:bookmarkStart w:id="658" w:name="_Toc46235128"/>
    </w:p>
    <w:p w14:paraId="64722118">
      <w:pPr>
        <w:spacing w:line="520" w:lineRule="exact"/>
        <w:ind w:firstLine="2514" w:firstLineChars="1143"/>
        <w:rPr>
          <w:rFonts w:hint="eastAsia"/>
          <w:b/>
          <w:sz w:val="22"/>
          <w:szCs w:val="22"/>
          <w:highlight w:val="none"/>
          <w:u w:val="single"/>
        </w:rPr>
      </w:pPr>
    </w:p>
    <w:p w14:paraId="096C8212">
      <w:pPr>
        <w:spacing w:line="520" w:lineRule="exact"/>
        <w:ind w:firstLine="2514" w:firstLineChars="1143"/>
        <w:rPr>
          <w:rFonts w:hint="eastAsia"/>
          <w:b/>
          <w:sz w:val="22"/>
          <w:szCs w:val="22"/>
          <w:highlight w:val="none"/>
          <w:u w:val="single"/>
        </w:rPr>
      </w:pPr>
    </w:p>
    <w:p w14:paraId="22C692AE">
      <w:pPr>
        <w:spacing w:line="240" w:lineRule="auto"/>
        <w:jc w:val="center"/>
        <w:outlineLvl w:val="2"/>
        <w:rPr>
          <w:rFonts w:hint="eastAsia"/>
          <w:sz w:val="22"/>
          <w:szCs w:val="22"/>
          <w:highlight w:val="none"/>
        </w:rPr>
      </w:pPr>
      <w:bookmarkStart w:id="659" w:name="_Toc2983"/>
      <w:r>
        <w:rPr>
          <w:rFonts w:hint="eastAsia"/>
          <w:b/>
          <w:bCs/>
          <w:sz w:val="36"/>
          <w:szCs w:val="36"/>
          <w:highlight w:val="none"/>
          <w:lang w:eastAsia="zh-CN"/>
        </w:rPr>
        <w:t>菏泽市住房和城乡建设局2025年度第三方质量安全辅助巡查服务项目</w:t>
      </w:r>
      <w:bookmarkEnd w:id="659"/>
    </w:p>
    <w:p w14:paraId="36F5E225">
      <w:pPr>
        <w:jc w:val="both"/>
        <w:outlineLvl w:val="2"/>
        <w:rPr>
          <w:rFonts w:hint="eastAsia"/>
          <w:b/>
          <w:bCs/>
          <w:sz w:val="52"/>
          <w:szCs w:val="52"/>
          <w:highlight w:val="none"/>
        </w:rPr>
      </w:pPr>
      <w:bookmarkStart w:id="660" w:name="_Toc13215"/>
      <w:bookmarkStart w:id="661" w:name="_Toc31148"/>
      <w:bookmarkStart w:id="662" w:name="_Toc30513"/>
      <w:bookmarkStart w:id="663" w:name="_Toc31254_WPSOffice_Level1"/>
      <w:bookmarkStart w:id="664" w:name="_Toc11864_WPSOffice_Level1"/>
      <w:bookmarkStart w:id="665" w:name="_Toc25703_WPSOffice_Level1"/>
      <w:bookmarkStart w:id="666" w:name="_Toc32326"/>
      <w:bookmarkStart w:id="667" w:name="_Toc23017"/>
      <w:bookmarkStart w:id="668" w:name="_Toc5892"/>
      <w:bookmarkStart w:id="669" w:name="_Toc13190"/>
    </w:p>
    <w:p w14:paraId="11F1837B">
      <w:pPr>
        <w:jc w:val="center"/>
        <w:outlineLvl w:val="2"/>
        <w:rPr>
          <w:rFonts w:hint="eastAsia"/>
          <w:b/>
          <w:bCs/>
          <w:sz w:val="52"/>
          <w:szCs w:val="52"/>
          <w:highlight w:val="none"/>
        </w:rPr>
      </w:pPr>
      <w:bookmarkStart w:id="670" w:name="_Toc25191"/>
      <w:bookmarkStart w:id="671" w:name="_Toc12374"/>
      <w:bookmarkStart w:id="672" w:name="_Toc813"/>
      <w:r>
        <w:rPr>
          <w:rFonts w:hint="eastAsia"/>
          <w:b/>
          <w:bCs/>
          <w:sz w:val="52"/>
          <w:szCs w:val="52"/>
          <w:highlight w:val="none"/>
        </w:rPr>
        <w:t>响 应 文 件</w:t>
      </w:r>
      <w:bookmarkEnd w:id="660"/>
      <w:bookmarkEnd w:id="661"/>
      <w:bookmarkEnd w:id="662"/>
      <w:bookmarkEnd w:id="663"/>
      <w:bookmarkEnd w:id="664"/>
      <w:bookmarkEnd w:id="665"/>
      <w:bookmarkEnd w:id="666"/>
      <w:bookmarkEnd w:id="667"/>
      <w:bookmarkEnd w:id="668"/>
      <w:bookmarkEnd w:id="669"/>
      <w:bookmarkEnd w:id="670"/>
      <w:bookmarkEnd w:id="671"/>
      <w:bookmarkEnd w:id="672"/>
    </w:p>
    <w:p w14:paraId="59148EFC">
      <w:pPr>
        <w:spacing w:line="520" w:lineRule="exact"/>
        <w:jc w:val="center"/>
        <w:rPr>
          <w:rFonts w:hint="eastAsia"/>
          <w:b/>
          <w:sz w:val="22"/>
          <w:szCs w:val="22"/>
          <w:highlight w:val="none"/>
          <w:lang w:val="en-US" w:eastAsia="zh-CN"/>
        </w:rPr>
      </w:pPr>
    </w:p>
    <w:p w14:paraId="794DB795">
      <w:pPr>
        <w:spacing w:line="660" w:lineRule="exact"/>
        <w:jc w:val="center"/>
        <w:outlineLvl w:val="2"/>
        <w:rPr>
          <w:rFonts w:hint="default" w:ascii="宋体" w:hAnsi="宋体" w:eastAsia="宋体" w:cs="宋体"/>
          <w:sz w:val="28"/>
          <w:szCs w:val="28"/>
          <w:highlight w:val="none"/>
          <w:lang w:val="en-US" w:eastAsia="zh-CN"/>
        </w:rPr>
      </w:pPr>
      <w:bookmarkStart w:id="673" w:name="_Toc15625"/>
      <w:r>
        <w:rPr>
          <w:rFonts w:hint="eastAsia" w:ascii="宋体" w:hAnsi="宋体" w:eastAsia="宋体" w:cs="宋体"/>
          <w:sz w:val="28"/>
          <w:szCs w:val="28"/>
          <w:highlight w:val="none"/>
          <w:lang w:val="en-US" w:eastAsia="zh-CN"/>
        </w:rPr>
        <w:t>包号：</w:t>
      </w:r>
      <w:bookmarkEnd w:id="673"/>
    </w:p>
    <w:p w14:paraId="3588CE48">
      <w:pPr>
        <w:spacing w:line="660" w:lineRule="exact"/>
        <w:jc w:val="center"/>
        <w:outlineLvl w:val="2"/>
        <w:rPr>
          <w:rFonts w:hint="eastAsia" w:ascii="宋体" w:hAnsi="宋体" w:eastAsia="宋体" w:cs="宋体"/>
          <w:sz w:val="28"/>
          <w:szCs w:val="28"/>
          <w:highlight w:val="none"/>
        </w:rPr>
      </w:pPr>
      <w:bookmarkStart w:id="674" w:name="_Toc15379"/>
      <w:bookmarkStart w:id="675" w:name="_Toc28829"/>
      <w:bookmarkStart w:id="676" w:name="_Toc4494"/>
      <w:bookmarkStart w:id="677" w:name="_Toc5344"/>
      <w:bookmarkStart w:id="678" w:name="_Toc14900"/>
      <w:bookmarkStart w:id="679" w:name="_Toc17816"/>
      <w:bookmarkStart w:id="680" w:name="_Toc6236"/>
      <w:bookmarkStart w:id="681" w:name="_Toc24342"/>
      <w:bookmarkStart w:id="682" w:name="_Toc18664"/>
      <w:bookmarkStart w:id="683" w:name="_Toc30079"/>
      <w:r>
        <w:rPr>
          <w:rFonts w:hint="eastAsia" w:ascii="宋体" w:hAnsi="宋体" w:eastAsia="宋体" w:cs="宋体"/>
          <w:sz w:val="28"/>
          <w:szCs w:val="28"/>
          <w:highlight w:val="none"/>
        </w:rPr>
        <w:t>项目编号：</w:t>
      </w:r>
      <w:bookmarkEnd w:id="674"/>
      <w:bookmarkEnd w:id="675"/>
      <w:bookmarkEnd w:id="676"/>
      <w:bookmarkEnd w:id="677"/>
      <w:bookmarkEnd w:id="678"/>
      <w:bookmarkEnd w:id="679"/>
      <w:bookmarkEnd w:id="680"/>
      <w:bookmarkEnd w:id="681"/>
      <w:bookmarkEnd w:id="682"/>
      <w:bookmarkEnd w:id="683"/>
    </w:p>
    <w:p w14:paraId="30E52D04">
      <w:pPr>
        <w:spacing w:line="520" w:lineRule="exact"/>
        <w:jc w:val="center"/>
        <w:rPr>
          <w:rFonts w:hint="eastAsia"/>
          <w:sz w:val="22"/>
          <w:szCs w:val="22"/>
          <w:highlight w:val="none"/>
        </w:rPr>
      </w:pPr>
    </w:p>
    <w:p w14:paraId="396ACF08">
      <w:pPr>
        <w:pStyle w:val="2"/>
        <w:rPr>
          <w:rFonts w:hint="eastAsia"/>
          <w:highlight w:val="none"/>
        </w:rPr>
      </w:pPr>
    </w:p>
    <w:p w14:paraId="62FCB74F">
      <w:pPr>
        <w:spacing w:line="520" w:lineRule="exact"/>
        <w:jc w:val="center"/>
        <w:rPr>
          <w:rFonts w:hint="eastAsia"/>
          <w:sz w:val="22"/>
          <w:szCs w:val="22"/>
          <w:highlight w:val="none"/>
        </w:rPr>
      </w:pPr>
    </w:p>
    <w:p w14:paraId="14114F22">
      <w:pPr>
        <w:spacing w:line="520" w:lineRule="exact"/>
        <w:rPr>
          <w:rFonts w:hint="eastAsia"/>
          <w:sz w:val="22"/>
          <w:szCs w:val="22"/>
          <w:highlight w:val="none"/>
        </w:rPr>
      </w:pPr>
    </w:p>
    <w:p w14:paraId="7715815F">
      <w:pPr>
        <w:rPr>
          <w:rFonts w:hint="eastAsia"/>
          <w:highlight w:val="none"/>
        </w:rPr>
      </w:pPr>
    </w:p>
    <w:p w14:paraId="0F11184B">
      <w:pPr>
        <w:wordWrap w:val="0"/>
        <w:spacing w:line="480" w:lineRule="auto"/>
        <w:ind w:left="720" w:leftChars="300"/>
        <w:outlineLvl w:val="2"/>
        <w:rPr>
          <w:rFonts w:hint="eastAsia"/>
          <w:sz w:val="30"/>
          <w:szCs w:val="30"/>
          <w:highlight w:val="none"/>
        </w:rPr>
      </w:pPr>
      <w:bookmarkStart w:id="684" w:name="_Toc31042"/>
      <w:bookmarkStart w:id="685" w:name="_Toc2703"/>
      <w:bookmarkStart w:id="686" w:name="_Toc17792_WPSOffice_Level1"/>
      <w:bookmarkStart w:id="687" w:name="_Toc2429_WPSOffice_Level1"/>
      <w:bookmarkStart w:id="688" w:name="_Toc19868"/>
      <w:bookmarkStart w:id="689" w:name="_Toc27511_WPSOffice_Level1"/>
      <w:bookmarkStart w:id="690" w:name="_Toc17596"/>
      <w:bookmarkStart w:id="691" w:name="_Toc14433"/>
      <w:bookmarkStart w:id="692" w:name="_Toc26952"/>
      <w:bookmarkStart w:id="693" w:name="_Toc10171"/>
      <w:bookmarkStart w:id="694" w:name="_Toc11037"/>
      <w:bookmarkStart w:id="695" w:name="_Toc31154"/>
      <w:bookmarkStart w:id="696" w:name="_Toc26034"/>
      <w:r>
        <w:rPr>
          <w:rFonts w:hint="eastAsia"/>
          <w:sz w:val="30"/>
          <w:szCs w:val="30"/>
          <w:highlight w:val="none"/>
        </w:rPr>
        <w:t>供应商名称：</w:t>
      </w:r>
      <w:r>
        <w:rPr>
          <w:rFonts w:hint="eastAsia"/>
          <w:sz w:val="30"/>
          <w:szCs w:val="30"/>
          <w:highlight w:val="none"/>
          <w:u w:val="single"/>
        </w:rPr>
        <w:t xml:space="preserve">                             </w:t>
      </w:r>
      <w:r>
        <w:rPr>
          <w:rFonts w:hint="eastAsia"/>
          <w:sz w:val="30"/>
          <w:szCs w:val="30"/>
          <w:highlight w:val="none"/>
        </w:rPr>
        <w:t>（单位公章）</w:t>
      </w:r>
      <w:bookmarkEnd w:id="684"/>
      <w:bookmarkEnd w:id="685"/>
      <w:bookmarkEnd w:id="686"/>
      <w:bookmarkEnd w:id="687"/>
      <w:bookmarkEnd w:id="688"/>
      <w:bookmarkEnd w:id="689"/>
      <w:bookmarkEnd w:id="690"/>
      <w:bookmarkEnd w:id="691"/>
      <w:bookmarkEnd w:id="692"/>
      <w:bookmarkEnd w:id="693"/>
      <w:bookmarkEnd w:id="694"/>
      <w:bookmarkEnd w:id="695"/>
      <w:bookmarkEnd w:id="696"/>
      <w:bookmarkStart w:id="697" w:name="_Toc24902_WPSOffice_Level1"/>
      <w:bookmarkStart w:id="698" w:name="_Toc31993_WPSOffice_Level1"/>
      <w:bookmarkStart w:id="699" w:name="_Toc4057_WPSOffice_Level1"/>
      <w:bookmarkStart w:id="700" w:name="_Toc9323"/>
    </w:p>
    <w:p w14:paraId="1DDDB59D">
      <w:pPr>
        <w:wordWrap w:val="0"/>
        <w:spacing w:line="480" w:lineRule="auto"/>
        <w:ind w:left="720" w:leftChars="300"/>
        <w:outlineLvl w:val="2"/>
        <w:rPr>
          <w:rFonts w:hint="eastAsia"/>
          <w:sz w:val="30"/>
          <w:szCs w:val="30"/>
          <w:highlight w:val="none"/>
        </w:rPr>
      </w:pPr>
      <w:bookmarkStart w:id="701" w:name="_Toc32618"/>
      <w:bookmarkStart w:id="702" w:name="_Toc20618"/>
      <w:bookmarkStart w:id="703" w:name="_Toc4307"/>
      <w:bookmarkStart w:id="704" w:name="_Toc8081"/>
      <w:bookmarkStart w:id="705" w:name="_Toc5793"/>
      <w:bookmarkStart w:id="706" w:name="_Toc17917"/>
      <w:bookmarkStart w:id="707" w:name="_Toc20951"/>
      <w:bookmarkStart w:id="708" w:name="_Toc15743"/>
      <w:bookmarkStart w:id="709" w:name="_Toc14380"/>
      <w:r>
        <w:rPr>
          <w:rFonts w:hint="eastAsia"/>
          <w:sz w:val="30"/>
          <w:szCs w:val="30"/>
          <w:highlight w:val="none"/>
        </w:rPr>
        <w:t>法定代表人/负责人或授权代表人：</w:t>
      </w:r>
      <w:r>
        <w:rPr>
          <w:rFonts w:hint="eastAsia"/>
          <w:sz w:val="30"/>
          <w:szCs w:val="30"/>
          <w:highlight w:val="none"/>
          <w:u w:val="single"/>
        </w:rPr>
        <w:t xml:space="preserve">            </w:t>
      </w:r>
      <w:r>
        <w:rPr>
          <w:rFonts w:hint="eastAsia"/>
          <w:sz w:val="30"/>
          <w:szCs w:val="30"/>
          <w:highlight w:val="none"/>
        </w:rPr>
        <w:t>（签字或盖章）</w:t>
      </w:r>
      <w:bookmarkEnd w:id="697"/>
      <w:bookmarkEnd w:id="698"/>
      <w:bookmarkEnd w:id="699"/>
      <w:bookmarkEnd w:id="700"/>
      <w:bookmarkEnd w:id="701"/>
      <w:bookmarkEnd w:id="702"/>
      <w:bookmarkEnd w:id="703"/>
      <w:bookmarkEnd w:id="704"/>
      <w:bookmarkEnd w:id="705"/>
      <w:bookmarkEnd w:id="706"/>
      <w:bookmarkEnd w:id="707"/>
      <w:bookmarkEnd w:id="708"/>
      <w:bookmarkEnd w:id="709"/>
    </w:p>
    <w:p w14:paraId="5D8CFCA2">
      <w:pPr>
        <w:wordWrap w:val="0"/>
        <w:spacing w:line="480" w:lineRule="auto"/>
        <w:ind w:left="720" w:leftChars="300"/>
        <w:outlineLvl w:val="2"/>
        <w:rPr>
          <w:rFonts w:hint="eastAsia"/>
          <w:sz w:val="30"/>
          <w:szCs w:val="30"/>
          <w:highlight w:val="none"/>
        </w:rPr>
      </w:pPr>
      <w:bookmarkStart w:id="710" w:name="_Toc17723"/>
      <w:bookmarkStart w:id="711" w:name="_Toc10526"/>
      <w:bookmarkStart w:id="712" w:name="_Toc27743_WPSOffice_Level1"/>
      <w:bookmarkStart w:id="713" w:name="_Toc6442"/>
      <w:bookmarkStart w:id="714" w:name="_Toc29427_WPSOffice_Level1"/>
      <w:bookmarkStart w:id="715" w:name="_Toc27245"/>
      <w:bookmarkStart w:id="716" w:name="_Toc10814"/>
      <w:bookmarkStart w:id="717" w:name="_Toc1995"/>
      <w:bookmarkStart w:id="718" w:name="_Toc1364_WPSOffice_Level1"/>
      <w:bookmarkStart w:id="719" w:name="_Toc3618"/>
      <w:bookmarkStart w:id="720" w:name="_Toc3133"/>
      <w:bookmarkStart w:id="721" w:name="_Toc2472"/>
      <w:bookmarkStart w:id="722" w:name="_Toc22911"/>
      <w:r>
        <w:rPr>
          <w:rFonts w:hint="eastAsia"/>
          <w:sz w:val="30"/>
          <w:szCs w:val="30"/>
          <w:highlight w:val="none"/>
        </w:rPr>
        <w:t>日      期：      年      月      日</w:t>
      </w:r>
      <w:bookmarkEnd w:id="710"/>
      <w:bookmarkEnd w:id="711"/>
      <w:bookmarkEnd w:id="712"/>
      <w:bookmarkEnd w:id="713"/>
      <w:bookmarkEnd w:id="714"/>
      <w:bookmarkEnd w:id="715"/>
      <w:bookmarkEnd w:id="716"/>
      <w:bookmarkEnd w:id="717"/>
      <w:bookmarkEnd w:id="718"/>
      <w:bookmarkEnd w:id="719"/>
      <w:bookmarkEnd w:id="720"/>
      <w:bookmarkEnd w:id="721"/>
      <w:bookmarkEnd w:id="722"/>
    </w:p>
    <w:p w14:paraId="04C4C053">
      <w:pPr>
        <w:rPr>
          <w:rFonts w:hint="eastAsia"/>
          <w:highlight w:val="none"/>
        </w:rPr>
      </w:pPr>
      <w:r>
        <w:rPr>
          <w:rFonts w:hint="eastAsia"/>
          <w:highlight w:val="none"/>
        </w:rPr>
        <w:br w:type="page"/>
      </w:r>
    </w:p>
    <w:p w14:paraId="0B12F218">
      <w:pPr>
        <w:jc w:val="center"/>
        <w:outlineLvl w:val="1"/>
        <w:rPr>
          <w:rFonts w:hint="eastAsia"/>
          <w:b/>
          <w:bCs/>
          <w:sz w:val="32"/>
          <w:szCs w:val="32"/>
          <w:highlight w:val="none"/>
        </w:rPr>
      </w:pPr>
      <w:bookmarkStart w:id="723" w:name="_Toc3028"/>
      <w:bookmarkStart w:id="724" w:name="_Toc17700"/>
      <w:bookmarkStart w:id="725" w:name="_Toc21595"/>
      <w:bookmarkStart w:id="726" w:name="_Toc8217"/>
      <w:bookmarkStart w:id="727" w:name="_Toc15174"/>
      <w:bookmarkStart w:id="728" w:name="_Toc22175"/>
      <w:bookmarkStart w:id="729" w:name="_Toc32284"/>
      <w:bookmarkStart w:id="730" w:name="_Toc13508"/>
      <w:bookmarkStart w:id="731" w:name="_Toc5656"/>
      <w:bookmarkStart w:id="732" w:name="_Toc3536"/>
      <w:bookmarkStart w:id="733" w:name="_Toc14374"/>
      <w:bookmarkStart w:id="734" w:name="_Toc23627"/>
      <w:r>
        <w:rPr>
          <w:rFonts w:hint="eastAsia"/>
          <w:b/>
          <w:bCs/>
          <w:sz w:val="32"/>
          <w:szCs w:val="32"/>
          <w:highlight w:val="none"/>
        </w:rPr>
        <w:t>二、目  录</w:t>
      </w:r>
      <w:bookmarkEnd w:id="723"/>
      <w:bookmarkEnd w:id="724"/>
      <w:bookmarkEnd w:id="725"/>
      <w:bookmarkEnd w:id="726"/>
      <w:bookmarkEnd w:id="727"/>
      <w:bookmarkEnd w:id="728"/>
      <w:bookmarkEnd w:id="729"/>
      <w:bookmarkEnd w:id="730"/>
      <w:bookmarkEnd w:id="731"/>
      <w:bookmarkEnd w:id="732"/>
      <w:bookmarkEnd w:id="733"/>
      <w:bookmarkEnd w:id="734"/>
    </w:p>
    <w:p w14:paraId="70DE3033">
      <w:pPr>
        <w:outlineLvl w:val="0"/>
        <w:rPr>
          <w:rFonts w:hint="eastAsia"/>
          <w:sz w:val="30"/>
          <w:szCs w:val="30"/>
          <w:highlight w:val="none"/>
        </w:rPr>
      </w:pPr>
      <w:bookmarkStart w:id="735" w:name="_Toc28295"/>
      <w:bookmarkStart w:id="736" w:name="_Toc1201"/>
      <w:bookmarkStart w:id="737" w:name="_Toc22086"/>
      <w:bookmarkStart w:id="738" w:name="_Toc4473"/>
      <w:bookmarkStart w:id="739" w:name="_Toc727"/>
      <w:bookmarkStart w:id="740" w:name="_Toc14430"/>
      <w:bookmarkStart w:id="741" w:name="_Toc16919"/>
      <w:bookmarkStart w:id="742" w:name="_Toc29865"/>
      <w:bookmarkStart w:id="743" w:name="_Toc13957"/>
      <w:bookmarkStart w:id="744" w:name="_Toc9411"/>
      <w:bookmarkStart w:id="745" w:name="_Toc13038"/>
      <w:bookmarkStart w:id="746" w:name="_Toc31182"/>
      <w:r>
        <w:rPr>
          <w:rFonts w:hint="eastAsia"/>
          <w:sz w:val="30"/>
          <w:szCs w:val="30"/>
          <w:highlight w:val="none"/>
        </w:rPr>
        <w:t>一、报价部分</w:t>
      </w:r>
      <w:bookmarkEnd w:id="735"/>
      <w:bookmarkEnd w:id="736"/>
      <w:bookmarkEnd w:id="737"/>
      <w:bookmarkEnd w:id="738"/>
      <w:bookmarkEnd w:id="739"/>
      <w:bookmarkEnd w:id="740"/>
      <w:bookmarkEnd w:id="741"/>
      <w:bookmarkEnd w:id="742"/>
      <w:bookmarkEnd w:id="743"/>
      <w:bookmarkEnd w:id="744"/>
      <w:bookmarkEnd w:id="745"/>
      <w:bookmarkEnd w:id="746"/>
    </w:p>
    <w:p w14:paraId="16EBF82F">
      <w:pPr>
        <w:outlineLvl w:val="0"/>
        <w:rPr>
          <w:rFonts w:hint="eastAsia"/>
          <w:sz w:val="30"/>
          <w:szCs w:val="30"/>
          <w:highlight w:val="none"/>
        </w:rPr>
      </w:pPr>
      <w:bookmarkStart w:id="747" w:name="_Toc10238"/>
      <w:bookmarkStart w:id="748" w:name="_Toc5718"/>
      <w:bookmarkStart w:id="749" w:name="_Toc18931"/>
      <w:bookmarkStart w:id="750" w:name="_Toc25727"/>
      <w:bookmarkStart w:id="751" w:name="_Toc19096"/>
      <w:bookmarkStart w:id="752" w:name="_Toc11751_WPSOffice_Level1"/>
      <w:bookmarkStart w:id="753" w:name="_Toc14538_WPSOffice_Level1"/>
      <w:bookmarkStart w:id="754" w:name="_Toc1300"/>
      <w:bookmarkStart w:id="755" w:name="_Toc26307"/>
      <w:bookmarkStart w:id="756" w:name="_Toc11375"/>
      <w:bookmarkStart w:id="757" w:name="_Toc27678"/>
      <w:bookmarkStart w:id="758" w:name="_Toc8647"/>
      <w:bookmarkStart w:id="759" w:name="_Toc23804_WPSOffice_Level1"/>
      <w:bookmarkStart w:id="760" w:name="_Toc14422"/>
      <w:bookmarkStart w:id="761" w:name="_Toc27417"/>
      <w:bookmarkStart w:id="762" w:name="_Toc27163"/>
      <w:r>
        <w:rPr>
          <w:rFonts w:hint="eastAsia"/>
          <w:sz w:val="30"/>
          <w:szCs w:val="30"/>
          <w:highlight w:val="none"/>
        </w:rPr>
        <w:t>……</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14:paraId="759CED07">
      <w:pPr>
        <w:outlineLvl w:val="0"/>
        <w:rPr>
          <w:rFonts w:hint="eastAsia"/>
          <w:sz w:val="30"/>
          <w:szCs w:val="30"/>
          <w:highlight w:val="none"/>
        </w:rPr>
      </w:pPr>
      <w:bookmarkStart w:id="763" w:name="_Toc19658"/>
      <w:bookmarkStart w:id="764" w:name="_Toc18519"/>
      <w:bookmarkStart w:id="765" w:name="_Toc31214"/>
      <w:bookmarkStart w:id="766" w:name="_Toc8538"/>
      <w:bookmarkStart w:id="767" w:name="_Toc24543"/>
      <w:bookmarkStart w:id="768" w:name="_Toc177"/>
      <w:bookmarkStart w:id="769" w:name="_Toc13789"/>
      <w:bookmarkStart w:id="770" w:name="_Toc15804"/>
      <w:bookmarkStart w:id="771" w:name="_Toc4675"/>
      <w:bookmarkStart w:id="772" w:name="_Toc15924"/>
      <w:bookmarkStart w:id="773" w:name="_Toc2352"/>
      <w:bookmarkStart w:id="774" w:name="_Toc32678"/>
      <w:r>
        <w:rPr>
          <w:rFonts w:hint="eastAsia"/>
          <w:sz w:val="30"/>
          <w:szCs w:val="30"/>
          <w:highlight w:val="none"/>
        </w:rPr>
        <w:t>……</w:t>
      </w:r>
      <w:bookmarkEnd w:id="763"/>
      <w:bookmarkEnd w:id="764"/>
      <w:bookmarkEnd w:id="765"/>
      <w:bookmarkEnd w:id="766"/>
      <w:bookmarkEnd w:id="767"/>
      <w:bookmarkEnd w:id="768"/>
      <w:bookmarkEnd w:id="769"/>
      <w:bookmarkEnd w:id="770"/>
      <w:bookmarkEnd w:id="771"/>
      <w:bookmarkEnd w:id="772"/>
      <w:bookmarkEnd w:id="773"/>
      <w:bookmarkEnd w:id="774"/>
    </w:p>
    <w:p w14:paraId="203E0A19">
      <w:pPr>
        <w:outlineLvl w:val="0"/>
        <w:rPr>
          <w:rFonts w:hint="eastAsia"/>
          <w:sz w:val="30"/>
          <w:szCs w:val="30"/>
          <w:highlight w:val="none"/>
        </w:rPr>
      </w:pPr>
      <w:bookmarkStart w:id="775" w:name="_Toc27332"/>
      <w:bookmarkStart w:id="776" w:name="_Toc16033"/>
      <w:bookmarkStart w:id="777" w:name="_Toc8575"/>
      <w:bookmarkStart w:id="778" w:name="_Toc31102"/>
      <w:bookmarkStart w:id="779" w:name="_Toc12411"/>
      <w:bookmarkStart w:id="780" w:name="_Toc29149"/>
      <w:bookmarkStart w:id="781" w:name="_Toc104"/>
      <w:bookmarkStart w:id="782" w:name="_Toc5862"/>
      <w:bookmarkStart w:id="783" w:name="_Toc23565"/>
      <w:bookmarkStart w:id="784" w:name="_Toc12450"/>
      <w:bookmarkStart w:id="785" w:name="_Toc10902"/>
      <w:r>
        <w:rPr>
          <w:rFonts w:hint="eastAsia"/>
          <w:sz w:val="30"/>
          <w:szCs w:val="30"/>
          <w:highlight w:val="none"/>
        </w:rPr>
        <w:t>二、商务部分</w:t>
      </w:r>
      <w:bookmarkEnd w:id="775"/>
      <w:bookmarkEnd w:id="776"/>
      <w:bookmarkEnd w:id="777"/>
      <w:bookmarkEnd w:id="778"/>
      <w:bookmarkEnd w:id="779"/>
      <w:bookmarkEnd w:id="780"/>
      <w:bookmarkEnd w:id="781"/>
      <w:bookmarkEnd w:id="782"/>
      <w:bookmarkEnd w:id="783"/>
      <w:bookmarkEnd w:id="784"/>
      <w:bookmarkEnd w:id="785"/>
    </w:p>
    <w:p w14:paraId="071631EF">
      <w:pPr>
        <w:outlineLvl w:val="0"/>
        <w:rPr>
          <w:rFonts w:hint="eastAsia"/>
          <w:sz w:val="30"/>
          <w:szCs w:val="30"/>
          <w:highlight w:val="none"/>
        </w:rPr>
      </w:pPr>
      <w:bookmarkStart w:id="786" w:name="_Toc28575"/>
      <w:bookmarkStart w:id="787" w:name="_Toc30100"/>
      <w:bookmarkStart w:id="788" w:name="_Toc11555"/>
      <w:bookmarkStart w:id="789" w:name="_Toc8608"/>
      <w:bookmarkStart w:id="790" w:name="_Toc18236"/>
      <w:bookmarkStart w:id="791" w:name="_Toc10886"/>
      <w:bookmarkStart w:id="792" w:name="_Toc26466"/>
      <w:bookmarkStart w:id="793" w:name="_Toc4514"/>
      <w:bookmarkStart w:id="794" w:name="_Toc18858"/>
      <w:bookmarkStart w:id="795" w:name="_Toc23965"/>
      <w:bookmarkStart w:id="796" w:name="_Toc13402"/>
      <w:bookmarkStart w:id="797" w:name="_Toc14612"/>
      <w:bookmarkStart w:id="798" w:name="_Toc29971_WPSOffice_Level1"/>
      <w:bookmarkStart w:id="799" w:name="_Toc5412"/>
      <w:bookmarkStart w:id="800" w:name="_Toc2154_WPSOffice_Level1"/>
      <w:bookmarkStart w:id="801" w:name="_Toc14624_WPSOffice_Level1"/>
      <w:r>
        <w:rPr>
          <w:rFonts w:hint="eastAsia"/>
          <w:sz w:val="30"/>
          <w:szCs w:val="30"/>
          <w:highlight w:val="none"/>
        </w:rPr>
        <w:t>……</w:t>
      </w:r>
      <w:bookmarkEnd w:id="786"/>
      <w:bookmarkEnd w:id="787"/>
      <w:bookmarkEnd w:id="788"/>
      <w:bookmarkEnd w:id="789"/>
      <w:bookmarkEnd w:id="790"/>
      <w:bookmarkEnd w:id="791"/>
      <w:bookmarkEnd w:id="792"/>
      <w:bookmarkEnd w:id="793"/>
      <w:bookmarkEnd w:id="794"/>
      <w:bookmarkEnd w:id="795"/>
      <w:bookmarkEnd w:id="796"/>
      <w:bookmarkEnd w:id="797"/>
    </w:p>
    <w:p w14:paraId="798650EC">
      <w:pPr>
        <w:outlineLvl w:val="0"/>
        <w:rPr>
          <w:rFonts w:hint="eastAsia"/>
          <w:sz w:val="30"/>
          <w:szCs w:val="30"/>
          <w:highlight w:val="none"/>
        </w:rPr>
      </w:pPr>
      <w:bookmarkStart w:id="802" w:name="_Toc32237"/>
      <w:bookmarkStart w:id="803" w:name="_Toc11175"/>
      <w:bookmarkStart w:id="804" w:name="_Toc8775"/>
      <w:bookmarkStart w:id="805" w:name="_Toc14383"/>
      <w:bookmarkStart w:id="806" w:name="_Toc28214"/>
      <w:bookmarkStart w:id="807" w:name="_Toc24457"/>
      <w:bookmarkStart w:id="808" w:name="_Toc23631"/>
      <w:bookmarkStart w:id="809" w:name="_Toc7245"/>
      <w:bookmarkStart w:id="810" w:name="_Toc26648"/>
      <w:bookmarkStart w:id="811" w:name="_Toc17269"/>
      <w:bookmarkStart w:id="812" w:name="_Toc27465"/>
      <w:bookmarkStart w:id="813" w:name="_Toc19858"/>
      <w:r>
        <w:rPr>
          <w:rFonts w:hint="eastAsia"/>
          <w:sz w:val="30"/>
          <w:szCs w:val="30"/>
          <w:highlight w:val="none"/>
        </w:rPr>
        <w:t>……</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14:paraId="30DB694B">
      <w:pPr>
        <w:outlineLvl w:val="0"/>
        <w:rPr>
          <w:rFonts w:hint="eastAsia"/>
          <w:sz w:val="30"/>
          <w:szCs w:val="30"/>
          <w:highlight w:val="none"/>
        </w:rPr>
      </w:pPr>
      <w:bookmarkStart w:id="814" w:name="_Toc21535"/>
      <w:bookmarkStart w:id="815" w:name="_Toc13145"/>
      <w:bookmarkStart w:id="816" w:name="_Toc6042"/>
      <w:bookmarkStart w:id="817" w:name="_Toc17341"/>
      <w:bookmarkStart w:id="818" w:name="_Toc5783"/>
      <w:bookmarkStart w:id="819" w:name="_Toc26628"/>
      <w:bookmarkStart w:id="820" w:name="_Toc22328"/>
      <w:bookmarkStart w:id="821" w:name="_Toc713"/>
      <w:bookmarkStart w:id="822" w:name="_Toc22389"/>
      <w:bookmarkStart w:id="823" w:name="_Toc21921"/>
      <w:bookmarkStart w:id="824" w:name="_Toc13642"/>
      <w:bookmarkStart w:id="825" w:name="_Toc30350"/>
      <w:bookmarkStart w:id="826" w:name="_Toc10367"/>
      <w:bookmarkStart w:id="827" w:name="_Toc23564_WPSOffice_Level1"/>
      <w:bookmarkStart w:id="828" w:name="_Toc24656_WPSOffice_Level1"/>
      <w:bookmarkStart w:id="829" w:name="_Toc13409_WPSOffice_Level1"/>
      <w:r>
        <w:rPr>
          <w:rFonts w:hint="eastAsia"/>
          <w:sz w:val="30"/>
          <w:szCs w:val="30"/>
          <w:highlight w:val="none"/>
        </w:rPr>
        <w:t>三、技术部分</w:t>
      </w:r>
      <w:bookmarkEnd w:id="814"/>
      <w:bookmarkEnd w:id="815"/>
      <w:bookmarkEnd w:id="816"/>
      <w:bookmarkEnd w:id="817"/>
      <w:bookmarkEnd w:id="818"/>
      <w:bookmarkEnd w:id="819"/>
      <w:bookmarkEnd w:id="820"/>
      <w:bookmarkEnd w:id="821"/>
      <w:bookmarkEnd w:id="822"/>
      <w:bookmarkEnd w:id="823"/>
      <w:bookmarkEnd w:id="824"/>
      <w:bookmarkEnd w:id="825"/>
      <w:bookmarkEnd w:id="826"/>
    </w:p>
    <w:p w14:paraId="6C6329F3">
      <w:pPr>
        <w:outlineLvl w:val="0"/>
        <w:rPr>
          <w:rFonts w:hint="eastAsia"/>
          <w:sz w:val="30"/>
          <w:szCs w:val="30"/>
          <w:highlight w:val="none"/>
        </w:rPr>
      </w:pPr>
      <w:bookmarkStart w:id="830" w:name="_Toc1434"/>
      <w:bookmarkStart w:id="831" w:name="_Toc17880"/>
      <w:bookmarkStart w:id="832" w:name="_Toc20095"/>
      <w:bookmarkStart w:id="833" w:name="_Toc900"/>
      <w:bookmarkStart w:id="834" w:name="_Toc10787"/>
      <w:bookmarkStart w:id="835" w:name="_Toc25407"/>
      <w:bookmarkStart w:id="836" w:name="_Toc18862"/>
      <w:bookmarkStart w:id="837" w:name="_Toc644"/>
      <w:bookmarkStart w:id="838" w:name="_Toc14686"/>
      <w:bookmarkStart w:id="839" w:name="_Toc2192"/>
      <w:bookmarkStart w:id="840" w:name="_Toc4098"/>
      <w:bookmarkStart w:id="841" w:name="_Toc22207"/>
      <w:bookmarkStart w:id="842" w:name="_Toc13933"/>
      <w:r>
        <w:rPr>
          <w:rFonts w:hint="eastAsia"/>
          <w:sz w:val="30"/>
          <w:szCs w:val="30"/>
          <w:highlight w:val="none"/>
        </w:rPr>
        <w:t>……</w:t>
      </w:r>
      <w:bookmarkEnd w:id="830"/>
      <w:bookmarkEnd w:id="831"/>
      <w:bookmarkEnd w:id="832"/>
      <w:bookmarkEnd w:id="833"/>
      <w:bookmarkEnd w:id="834"/>
      <w:bookmarkEnd w:id="835"/>
      <w:bookmarkEnd w:id="836"/>
      <w:bookmarkEnd w:id="837"/>
      <w:bookmarkEnd w:id="838"/>
      <w:bookmarkEnd w:id="839"/>
      <w:bookmarkEnd w:id="840"/>
      <w:bookmarkEnd w:id="841"/>
    </w:p>
    <w:p w14:paraId="334D48F6">
      <w:pPr>
        <w:rPr>
          <w:rFonts w:hint="eastAsia"/>
          <w:highlight w:val="none"/>
        </w:rPr>
      </w:pPr>
      <w:r>
        <w:rPr>
          <w:rFonts w:hint="eastAsia"/>
          <w:sz w:val="30"/>
          <w:szCs w:val="30"/>
          <w:highlight w:val="none"/>
        </w:rPr>
        <w:t>……</w:t>
      </w:r>
      <w:bookmarkEnd w:id="827"/>
      <w:bookmarkEnd w:id="828"/>
      <w:bookmarkEnd w:id="829"/>
      <w:bookmarkEnd w:id="842"/>
    </w:p>
    <w:p w14:paraId="36F4DE9C">
      <w:pPr>
        <w:rPr>
          <w:rFonts w:hint="eastAsia"/>
          <w:highlight w:val="none"/>
        </w:rPr>
      </w:pPr>
      <w:r>
        <w:rPr>
          <w:rFonts w:hint="eastAsia"/>
          <w:highlight w:val="none"/>
        </w:rPr>
        <w:br w:type="page"/>
      </w:r>
    </w:p>
    <w:p w14:paraId="6B0CC6F5">
      <w:pPr>
        <w:jc w:val="center"/>
        <w:rPr>
          <w:rFonts w:hint="eastAsia"/>
          <w:b/>
          <w:bCs/>
          <w:sz w:val="32"/>
          <w:szCs w:val="32"/>
          <w:highlight w:val="none"/>
        </w:rPr>
      </w:pPr>
      <w:r>
        <w:rPr>
          <w:rFonts w:hint="eastAsia"/>
          <w:b/>
          <w:bCs/>
          <w:sz w:val="32"/>
          <w:szCs w:val="32"/>
          <w:highlight w:val="none"/>
        </w:rPr>
        <w:t>三、报价部分内容如下</w:t>
      </w:r>
    </w:p>
    <w:p w14:paraId="618E431B">
      <w:pPr>
        <w:numPr>
          <w:ilvl w:val="0"/>
          <w:numId w:val="0"/>
        </w:numPr>
        <w:ind w:left="400" w:leftChars="0"/>
        <w:outlineLvl w:val="0"/>
        <w:rPr>
          <w:rFonts w:hint="eastAsia"/>
          <w:highlight w:val="none"/>
        </w:rPr>
      </w:pPr>
      <w:bookmarkStart w:id="843" w:name="_Toc20176"/>
      <w:bookmarkStart w:id="844" w:name="_Toc19792"/>
      <w:bookmarkStart w:id="845" w:name="_Toc3376"/>
      <w:bookmarkStart w:id="846" w:name="_Toc4846"/>
      <w:bookmarkStart w:id="847" w:name="_Toc23400"/>
      <w:bookmarkStart w:id="848" w:name="_Toc24"/>
      <w:bookmarkStart w:id="849" w:name="_Toc2355"/>
      <w:bookmarkStart w:id="850" w:name="_Toc30961"/>
      <w:bookmarkStart w:id="851" w:name="_Toc17424"/>
      <w:bookmarkStart w:id="852" w:name="_Toc15459"/>
      <w:bookmarkStart w:id="853" w:name="_Toc2577"/>
    </w:p>
    <w:p w14:paraId="64399F5C">
      <w:pPr>
        <w:numPr>
          <w:ilvl w:val="0"/>
          <w:numId w:val="4"/>
        </w:numPr>
        <w:outlineLvl w:val="0"/>
        <w:rPr>
          <w:rFonts w:hint="eastAsia"/>
          <w:highlight w:val="none"/>
        </w:rPr>
      </w:pPr>
      <w:bookmarkStart w:id="854" w:name="_Toc9243"/>
      <w:r>
        <w:rPr>
          <w:rFonts w:hint="eastAsia"/>
          <w:highlight w:val="none"/>
        </w:rPr>
        <w:t>报价一览表；</w:t>
      </w:r>
      <w:bookmarkEnd w:id="843"/>
      <w:bookmarkEnd w:id="844"/>
      <w:bookmarkEnd w:id="845"/>
      <w:bookmarkEnd w:id="846"/>
      <w:bookmarkEnd w:id="847"/>
      <w:bookmarkEnd w:id="848"/>
      <w:bookmarkEnd w:id="849"/>
      <w:bookmarkEnd w:id="850"/>
      <w:bookmarkEnd w:id="851"/>
      <w:bookmarkEnd w:id="852"/>
      <w:bookmarkEnd w:id="853"/>
      <w:bookmarkEnd w:id="854"/>
    </w:p>
    <w:p w14:paraId="35073468">
      <w:pPr>
        <w:numPr>
          <w:ilvl w:val="0"/>
          <w:numId w:val="4"/>
        </w:numPr>
        <w:outlineLvl w:val="0"/>
        <w:rPr>
          <w:rFonts w:hint="eastAsia"/>
          <w:highlight w:val="none"/>
        </w:rPr>
      </w:pPr>
      <w:bookmarkStart w:id="855" w:name="_Toc30123"/>
      <w:bookmarkStart w:id="856" w:name="_Toc1511"/>
      <w:bookmarkStart w:id="857" w:name="_Toc19274"/>
      <w:bookmarkStart w:id="858" w:name="_Toc28381"/>
      <w:bookmarkStart w:id="859" w:name="_Toc14811"/>
      <w:bookmarkStart w:id="860" w:name="_Toc31363"/>
      <w:bookmarkStart w:id="861" w:name="_Toc16136"/>
      <w:bookmarkStart w:id="862" w:name="_Toc9669"/>
      <w:bookmarkStart w:id="863" w:name="_Toc32443"/>
      <w:bookmarkStart w:id="864" w:name="_Toc2269"/>
      <w:bookmarkStart w:id="865" w:name="_Toc24088"/>
      <w:bookmarkStart w:id="866" w:name="_Toc24623"/>
      <w:bookmarkStart w:id="867" w:name="_Toc5433"/>
      <w:bookmarkStart w:id="868" w:name="_Toc19534"/>
      <w:bookmarkStart w:id="869" w:name="_Toc4206"/>
      <w:bookmarkStart w:id="870" w:name="_Toc32216"/>
      <w:bookmarkStart w:id="871" w:name="_Toc27710"/>
      <w:bookmarkStart w:id="872" w:name="_Toc24162"/>
      <w:bookmarkStart w:id="873" w:name="_Toc18989"/>
      <w:bookmarkStart w:id="874" w:name="_Toc10161"/>
      <w:bookmarkStart w:id="875" w:name="_Toc15548"/>
      <w:r>
        <w:rPr>
          <w:rFonts w:hint="eastAsia"/>
          <w:highlight w:val="none"/>
          <w:lang w:val="en-US" w:eastAsia="zh-CN"/>
        </w:rPr>
        <w:t>报价</w:t>
      </w:r>
      <w:r>
        <w:rPr>
          <w:rFonts w:hint="eastAsia"/>
          <w:highlight w:val="none"/>
        </w:rPr>
        <w:t>函；</w:t>
      </w:r>
      <w:bookmarkEnd w:id="855"/>
      <w:bookmarkEnd w:id="856"/>
      <w:bookmarkEnd w:id="857"/>
      <w:bookmarkEnd w:id="858"/>
      <w:bookmarkEnd w:id="859"/>
      <w:bookmarkEnd w:id="860"/>
      <w:bookmarkEnd w:id="861"/>
      <w:bookmarkEnd w:id="862"/>
      <w:bookmarkEnd w:id="863"/>
      <w:bookmarkEnd w:id="864"/>
      <w:bookmarkEnd w:id="865"/>
      <w:bookmarkEnd w:id="866"/>
    </w:p>
    <w:p w14:paraId="6813D7B5">
      <w:pPr>
        <w:numPr>
          <w:ilvl w:val="0"/>
          <w:numId w:val="4"/>
        </w:numPr>
        <w:outlineLvl w:val="0"/>
        <w:rPr>
          <w:rFonts w:hint="eastAsia"/>
          <w:highlight w:val="none"/>
        </w:rPr>
      </w:pPr>
      <w:bookmarkStart w:id="876" w:name="_Toc27125"/>
      <w:bookmarkStart w:id="877" w:name="_Toc5014"/>
      <w:bookmarkStart w:id="878" w:name="_Toc24315"/>
      <w:r>
        <w:rPr>
          <w:rFonts w:hint="eastAsia"/>
          <w:highlight w:val="none"/>
        </w:rPr>
        <w:t>对竞争性磋商文件认同程度的声明；</w:t>
      </w:r>
      <w:bookmarkEnd w:id="867"/>
      <w:bookmarkEnd w:id="868"/>
      <w:bookmarkEnd w:id="869"/>
      <w:bookmarkEnd w:id="870"/>
      <w:bookmarkEnd w:id="871"/>
      <w:bookmarkEnd w:id="872"/>
      <w:bookmarkEnd w:id="873"/>
      <w:bookmarkEnd w:id="874"/>
      <w:bookmarkEnd w:id="875"/>
      <w:bookmarkEnd w:id="876"/>
      <w:bookmarkEnd w:id="877"/>
      <w:bookmarkEnd w:id="878"/>
    </w:p>
    <w:p w14:paraId="5C473363">
      <w:pPr>
        <w:numPr>
          <w:ilvl w:val="0"/>
          <w:numId w:val="4"/>
        </w:numPr>
        <w:outlineLvl w:val="0"/>
        <w:rPr>
          <w:rFonts w:hint="eastAsia"/>
          <w:highlight w:val="none"/>
        </w:rPr>
      </w:pPr>
      <w:bookmarkStart w:id="879" w:name="_Toc11158"/>
      <w:bookmarkStart w:id="880" w:name="_Toc9998"/>
      <w:bookmarkStart w:id="881" w:name="_Toc909"/>
      <w:bookmarkStart w:id="882" w:name="_Toc3245"/>
      <w:bookmarkStart w:id="883" w:name="_Toc4265"/>
      <w:bookmarkStart w:id="884" w:name="_Toc1733"/>
      <w:bookmarkStart w:id="885" w:name="_Toc12819"/>
      <w:bookmarkStart w:id="886" w:name="_Toc1326"/>
      <w:bookmarkStart w:id="887" w:name="_Toc20936"/>
      <w:r>
        <w:rPr>
          <w:rFonts w:hint="eastAsia"/>
          <w:highlight w:val="none"/>
        </w:rPr>
        <w:t>供应商认为竞争性磋商文件中需要体现的其它报价材料。</w:t>
      </w:r>
      <w:bookmarkEnd w:id="879"/>
      <w:bookmarkEnd w:id="880"/>
      <w:bookmarkEnd w:id="881"/>
      <w:bookmarkEnd w:id="882"/>
      <w:bookmarkEnd w:id="883"/>
      <w:bookmarkEnd w:id="884"/>
      <w:bookmarkEnd w:id="885"/>
      <w:bookmarkEnd w:id="886"/>
      <w:bookmarkEnd w:id="887"/>
    </w:p>
    <w:p w14:paraId="328B47BD">
      <w:pPr>
        <w:pStyle w:val="38"/>
        <w:rPr>
          <w:rFonts w:hint="eastAsia"/>
          <w:highlight w:val="none"/>
        </w:rPr>
      </w:pPr>
    </w:p>
    <w:p w14:paraId="244BF148">
      <w:pPr>
        <w:rPr>
          <w:rFonts w:hint="eastAsia"/>
          <w:highlight w:val="none"/>
        </w:rPr>
      </w:pPr>
      <w:r>
        <w:rPr>
          <w:rFonts w:hint="eastAsia"/>
          <w:b/>
          <w:bCs/>
          <w:highlight w:val="none"/>
          <w:u w:val="single"/>
        </w:rPr>
        <w:t>注：以上无格式的条文，由供应商根据竞争性磋商文件要求自行编制，格式自拟。</w:t>
      </w:r>
    </w:p>
    <w:p w14:paraId="107425E9">
      <w:pPr>
        <w:pStyle w:val="38"/>
        <w:rPr>
          <w:rFonts w:hint="eastAsia"/>
          <w:highlight w:val="none"/>
        </w:rPr>
      </w:pPr>
    </w:p>
    <w:p w14:paraId="52DF0B73">
      <w:pPr>
        <w:numPr>
          <w:ilvl w:val="0"/>
          <w:numId w:val="5"/>
        </w:numPr>
        <w:outlineLvl w:val="0"/>
        <w:rPr>
          <w:rFonts w:hint="eastAsia"/>
          <w:highlight w:val="none"/>
        </w:rPr>
      </w:pPr>
      <w:r>
        <w:rPr>
          <w:rFonts w:hint="eastAsia"/>
          <w:highlight w:val="none"/>
        </w:rPr>
        <w:br w:type="page"/>
      </w:r>
      <w:bookmarkStart w:id="888" w:name="_Toc22069"/>
      <w:bookmarkEnd w:id="888"/>
      <w:bookmarkStart w:id="889" w:name="_Toc16669"/>
      <w:bookmarkEnd w:id="889"/>
      <w:bookmarkStart w:id="890" w:name="_Toc19989"/>
      <w:bookmarkEnd w:id="890"/>
      <w:bookmarkStart w:id="891" w:name="_Toc28442"/>
      <w:bookmarkEnd w:id="891"/>
      <w:bookmarkStart w:id="892" w:name="_Toc366"/>
      <w:bookmarkEnd w:id="892"/>
      <w:bookmarkStart w:id="893" w:name="_Toc28048"/>
      <w:bookmarkEnd w:id="893"/>
      <w:bookmarkStart w:id="894" w:name="_Toc2824"/>
      <w:bookmarkEnd w:id="894"/>
      <w:bookmarkStart w:id="895" w:name="_Toc19157"/>
      <w:bookmarkEnd w:id="895"/>
      <w:bookmarkStart w:id="896" w:name="_Toc11108"/>
      <w:bookmarkEnd w:id="896"/>
    </w:p>
    <w:p w14:paraId="51C71045">
      <w:pPr>
        <w:jc w:val="center"/>
        <w:rPr>
          <w:rFonts w:hint="eastAsia"/>
          <w:b/>
          <w:bCs/>
          <w:sz w:val="32"/>
          <w:szCs w:val="32"/>
          <w:highlight w:val="none"/>
        </w:rPr>
      </w:pPr>
      <w:r>
        <w:rPr>
          <w:rFonts w:hint="eastAsia"/>
          <w:b/>
          <w:bCs/>
          <w:sz w:val="32"/>
          <w:szCs w:val="32"/>
          <w:highlight w:val="none"/>
        </w:rPr>
        <w:t>1.报价一览表</w:t>
      </w:r>
    </w:p>
    <w:tbl>
      <w:tblPr>
        <w:tblStyle w:val="30"/>
        <w:tblW w:w="93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89"/>
        <w:gridCol w:w="6710"/>
      </w:tblGrid>
      <w:tr w14:paraId="1E1BE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689" w:type="dxa"/>
            <w:vAlign w:val="center"/>
          </w:tcPr>
          <w:p w14:paraId="5CC80A92">
            <w:pPr>
              <w:spacing w:line="240" w:lineRule="auto"/>
              <w:jc w:val="center"/>
              <w:rPr>
                <w:rFonts w:hint="eastAsia" w:ascii="宋体" w:hAnsi="宋体" w:eastAsia="宋体" w:cs="宋体"/>
                <w:highlight w:val="none"/>
              </w:rPr>
            </w:pPr>
            <w:r>
              <w:rPr>
                <w:rFonts w:hint="eastAsia" w:ascii="宋体" w:hAnsi="宋体" w:eastAsia="宋体" w:cs="宋体"/>
                <w:highlight w:val="none"/>
              </w:rPr>
              <w:t>项目名称</w:t>
            </w:r>
          </w:p>
        </w:tc>
        <w:tc>
          <w:tcPr>
            <w:tcW w:w="6710" w:type="dxa"/>
            <w:vAlign w:val="center"/>
          </w:tcPr>
          <w:p w14:paraId="014A6546">
            <w:pPr>
              <w:spacing w:line="240" w:lineRule="auto"/>
              <w:jc w:val="center"/>
              <w:rPr>
                <w:rFonts w:hint="eastAsia"/>
                <w:highlight w:val="none"/>
              </w:rPr>
            </w:pPr>
            <w:r>
              <w:rPr>
                <w:rFonts w:hint="eastAsia"/>
                <w:highlight w:val="none"/>
                <w:lang w:eastAsia="zh-CN"/>
              </w:rPr>
              <w:t>菏泽市住房和城乡建设局2025年度第三方质量安全辅助巡查服务项目</w:t>
            </w:r>
          </w:p>
        </w:tc>
      </w:tr>
      <w:tr w14:paraId="26201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689" w:type="dxa"/>
            <w:vAlign w:val="center"/>
          </w:tcPr>
          <w:p w14:paraId="2F76EA4A">
            <w:pPr>
              <w:spacing w:line="240" w:lineRule="auto"/>
              <w:jc w:val="center"/>
              <w:rPr>
                <w:rFonts w:hint="eastAsia" w:ascii="宋体" w:hAnsi="宋体" w:eastAsia="宋体" w:cs="宋体"/>
                <w:highlight w:val="none"/>
              </w:rPr>
            </w:pPr>
            <w:r>
              <w:rPr>
                <w:rFonts w:hint="eastAsia" w:ascii="宋体" w:hAnsi="宋体" w:eastAsia="宋体" w:cs="宋体"/>
                <w:highlight w:val="none"/>
              </w:rPr>
              <w:t>项目编号</w:t>
            </w:r>
          </w:p>
        </w:tc>
        <w:tc>
          <w:tcPr>
            <w:tcW w:w="6710" w:type="dxa"/>
            <w:vAlign w:val="center"/>
          </w:tcPr>
          <w:p w14:paraId="0006F636">
            <w:pPr>
              <w:spacing w:line="240" w:lineRule="auto"/>
              <w:jc w:val="center"/>
              <w:rPr>
                <w:rFonts w:hint="eastAsia" w:ascii="宋体" w:hAnsi="宋体" w:eastAsia="宋体" w:cs="宋体"/>
                <w:highlight w:val="none"/>
              </w:rPr>
            </w:pPr>
          </w:p>
        </w:tc>
      </w:tr>
      <w:tr w14:paraId="7035A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689" w:type="dxa"/>
            <w:vAlign w:val="center"/>
          </w:tcPr>
          <w:p w14:paraId="2A757B47">
            <w:pPr>
              <w:spacing w:line="240" w:lineRule="auto"/>
              <w:jc w:val="center"/>
              <w:rPr>
                <w:rFonts w:hint="eastAsia" w:ascii="宋体" w:hAnsi="宋体" w:eastAsia="宋体" w:cs="宋体"/>
                <w:highlight w:val="none"/>
                <w:lang w:val="en-US" w:eastAsia="zh-CN"/>
              </w:rPr>
            </w:pPr>
            <w:bookmarkStart w:id="897" w:name="_Toc22947"/>
            <w:bookmarkStart w:id="898" w:name="_Toc18863"/>
            <w:r>
              <w:rPr>
                <w:rFonts w:hint="eastAsia" w:cs="宋体"/>
                <w:highlight w:val="none"/>
                <w:lang w:val="en-US" w:eastAsia="zh-CN"/>
              </w:rPr>
              <w:t>包号</w:t>
            </w:r>
          </w:p>
        </w:tc>
        <w:tc>
          <w:tcPr>
            <w:tcW w:w="6710" w:type="dxa"/>
            <w:vAlign w:val="center"/>
          </w:tcPr>
          <w:p w14:paraId="21F9B160">
            <w:pPr>
              <w:spacing w:line="240" w:lineRule="auto"/>
              <w:jc w:val="center"/>
              <w:rPr>
                <w:rFonts w:hint="eastAsia" w:ascii="宋体" w:hAnsi="宋体" w:eastAsia="宋体" w:cs="宋体"/>
                <w:highlight w:val="none"/>
              </w:rPr>
            </w:pPr>
          </w:p>
        </w:tc>
      </w:tr>
      <w:tr w14:paraId="427D2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2689" w:type="dxa"/>
            <w:vMerge w:val="restart"/>
            <w:vAlign w:val="center"/>
          </w:tcPr>
          <w:p w14:paraId="589FA72D">
            <w:pPr>
              <w:keepNext w:val="0"/>
              <w:keepLines w:val="0"/>
              <w:suppressLineNumbers w:val="0"/>
              <w:spacing w:before="0" w:beforeAutospacing="0" w:after="0" w:afterAutospacing="0" w:line="312" w:lineRule="auto"/>
              <w:ind w:left="0" w:right="0"/>
              <w:jc w:val="center"/>
              <w:outlineLvl w:val="1"/>
              <w:rPr>
                <w:rFonts w:hint="eastAsia" w:ascii="宋体" w:hAnsi="宋体" w:cs="宋体"/>
                <w:kern w:val="0"/>
                <w:highlight w:val="none"/>
              </w:rPr>
            </w:pPr>
            <w:bookmarkStart w:id="899" w:name="_Toc20010"/>
            <w:r>
              <w:rPr>
                <w:rFonts w:hint="eastAsia" w:cs="宋体"/>
                <w:b w:val="0"/>
                <w:bCs w:val="0"/>
                <w:highlight w:val="none"/>
                <w:lang w:val="en-US" w:eastAsia="zh-CN"/>
              </w:rPr>
              <w:t>首次</w:t>
            </w:r>
            <w:r>
              <w:rPr>
                <w:rFonts w:hint="eastAsia" w:ascii="宋体" w:hAnsi="宋体" w:cs="宋体"/>
                <w:kern w:val="0"/>
                <w:highlight w:val="none"/>
              </w:rPr>
              <w:t>总报价</w:t>
            </w:r>
            <w:bookmarkEnd w:id="897"/>
            <w:bookmarkEnd w:id="898"/>
            <w:bookmarkEnd w:id="899"/>
          </w:p>
          <w:p w14:paraId="4B710C0C">
            <w:pPr>
              <w:spacing w:line="240" w:lineRule="auto"/>
              <w:jc w:val="center"/>
              <w:rPr>
                <w:rFonts w:hint="eastAsia" w:ascii="宋体" w:hAnsi="宋体" w:eastAsia="宋体" w:cs="宋体"/>
                <w:highlight w:val="none"/>
              </w:rPr>
            </w:pPr>
            <w:r>
              <w:rPr>
                <w:rFonts w:hint="eastAsia" w:ascii="宋体" w:hAnsi="宋体" w:cs="宋体"/>
                <w:kern w:val="0"/>
                <w:highlight w:val="none"/>
              </w:rPr>
              <w:t>（元）</w:t>
            </w:r>
          </w:p>
        </w:tc>
        <w:tc>
          <w:tcPr>
            <w:tcW w:w="6710" w:type="dxa"/>
            <w:vAlign w:val="center"/>
          </w:tcPr>
          <w:p w14:paraId="7D6C657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textAlignment w:val="baseline"/>
              <w:rPr>
                <w:rFonts w:hint="eastAsia" w:ascii="宋体" w:hAnsi="宋体" w:eastAsia="宋体" w:cs="宋体"/>
                <w:highlight w:val="none"/>
              </w:rPr>
            </w:pPr>
            <w:r>
              <w:rPr>
                <w:rFonts w:hint="eastAsia" w:ascii="宋体" w:hAnsi="宋体" w:eastAsia="宋体" w:cs="宋体"/>
                <w:highlight w:val="none"/>
              </w:rPr>
              <w:t>小写：</w:t>
            </w:r>
            <w:r>
              <w:rPr>
                <w:rFonts w:hint="eastAsia" w:ascii="宋体" w:hAnsi="宋体" w:eastAsia="宋体" w:cs="宋体"/>
                <w:highlight w:val="none"/>
                <w:u w:val="single"/>
                <w:lang w:val="en-US" w:eastAsia="zh-CN"/>
              </w:rPr>
              <w:t xml:space="preserve">      </w:t>
            </w:r>
            <w:r>
              <w:rPr>
                <w:rFonts w:hint="eastAsia" w:cs="宋体"/>
                <w:highlight w:val="none"/>
                <w:u w:val="single"/>
                <w:lang w:val="en-US" w:eastAsia="zh-CN"/>
              </w:rPr>
              <w:t xml:space="preserve">                        </w:t>
            </w:r>
            <w:r>
              <w:rPr>
                <w:rFonts w:hint="eastAsia" w:ascii="宋体" w:hAnsi="宋体" w:eastAsia="宋体" w:cs="宋体"/>
                <w:highlight w:val="none"/>
                <w:u w:val="single"/>
                <w:lang w:val="en-US" w:eastAsia="zh-CN"/>
              </w:rPr>
              <w:t xml:space="preserve">  </w:t>
            </w:r>
            <w:r>
              <w:rPr>
                <w:rFonts w:hint="eastAsia" w:cs="宋体"/>
                <w:highlight w:val="none"/>
                <w:u w:val="single"/>
                <w:lang w:val="en-US" w:eastAsia="zh-CN"/>
              </w:rPr>
              <w:t xml:space="preserve">  </w:t>
            </w:r>
            <w:r>
              <w:rPr>
                <w:rFonts w:hint="eastAsia" w:ascii="宋体" w:hAnsi="宋体" w:eastAsia="宋体" w:cs="宋体"/>
                <w:b/>
                <w:bCs/>
                <w:highlight w:val="none"/>
                <w:lang w:val="en-US" w:eastAsia="zh-CN"/>
              </w:rPr>
              <w:t xml:space="preserve"> </w:t>
            </w:r>
            <w:r>
              <w:rPr>
                <w:rFonts w:hint="eastAsia" w:ascii="宋体" w:hAnsi="宋体" w:eastAsia="宋体" w:cs="宋体"/>
                <w:highlight w:val="none"/>
              </w:rPr>
              <w:t xml:space="preserve">                                    </w:t>
            </w:r>
          </w:p>
        </w:tc>
      </w:tr>
      <w:tr w14:paraId="63BA9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2689" w:type="dxa"/>
            <w:vMerge w:val="continue"/>
            <w:vAlign w:val="center"/>
          </w:tcPr>
          <w:p w14:paraId="6CF3EC28">
            <w:pPr>
              <w:spacing w:line="240" w:lineRule="auto"/>
              <w:jc w:val="both"/>
              <w:rPr>
                <w:highlight w:val="none"/>
              </w:rPr>
            </w:pPr>
          </w:p>
        </w:tc>
        <w:tc>
          <w:tcPr>
            <w:tcW w:w="6710" w:type="dxa"/>
            <w:vAlign w:val="center"/>
          </w:tcPr>
          <w:p w14:paraId="1DE78F7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textAlignment w:val="baseline"/>
              <w:rPr>
                <w:rFonts w:hint="eastAsia" w:ascii="宋体" w:hAnsi="宋体" w:eastAsia="宋体" w:cs="宋体"/>
                <w:highlight w:val="none"/>
                <w:u w:val="single"/>
              </w:rPr>
            </w:pPr>
            <w:r>
              <w:rPr>
                <w:rFonts w:hint="eastAsia" w:ascii="宋体" w:hAnsi="宋体" w:eastAsia="宋体" w:cs="宋体"/>
                <w:highlight w:val="none"/>
              </w:rPr>
              <w:t>大写：</w:t>
            </w:r>
            <w:r>
              <w:rPr>
                <w:rFonts w:hint="eastAsia" w:ascii="宋体" w:hAnsi="宋体" w:eastAsia="宋体" w:cs="宋体"/>
                <w:highlight w:val="none"/>
                <w:u w:val="single"/>
                <w:lang w:val="en-US" w:eastAsia="zh-CN"/>
              </w:rPr>
              <w:t xml:space="preserve">     </w:t>
            </w:r>
            <w:r>
              <w:rPr>
                <w:rFonts w:hint="eastAsia" w:cs="宋体"/>
                <w:highlight w:val="none"/>
                <w:u w:val="single"/>
                <w:lang w:val="en-US" w:eastAsia="zh-CN"/>
              </w:rPr>
              <w:t xml:space="preserve">                        </w:t>
            </w:r>
            <w:r>
              <w:rPr>
                <w:rFonts w:hint="eastAsia" w:ascii="宋体" w:hAnsi="宋体" w:eastAsia="宋体" w:cs="宋体"/>
                <w:highlight w:val="none"/>
                <w:u w:val="single"/>
                <w:lang w:val="en-US" w:eastAsia="zh-CN"/>
              </w:rPr>
              <w:t xml:space="preserve">   </w:t>
            </w:r>
            <w:r>
              <w:rPr>
                <w:rFonts w:hint="eastAsia" w:cs="宋体"/>
                <w:highlight w:val="none"/>
                <w:u w:val="single"/>
                <w:lang w:val="en-US" w:eastAsia="zh-CN"/>
              </w:rPr>
              <w:t xml:space="preserve">  </w:t>
            </w:r>
          </w:p>
        </w:tc>
      </w:tr>
      <w:tr w14:paraId="4040E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689" w:type="dxa"/>
            <w:vAlign w:val="center"/>
          </w:tcPr>
          <w:p w14:paraId="57415BEA">
            <w:pPr>
              <w:spacing w:line="240" w:lineRule="auto"/>
              <w:jc w:val="center"/>
              <w:rPr>
                <w:rFonts w:hint="eastAsia" w:ascii="宋体" w:hAnsi="宋体" w:eastAsia="宋体" w:cs="宋体"/>
                <w:highlight w:val="none"/>
              </w:rPr>
            </w:pPr>
            <w:r>
              <w:rPr>
                <w:rFonts w:hint="eastAsia" w:ascii="宋体" w:hAnsi="宋体" w:eastAsia="宋体" w:cs="宋体"/>
                <w:highlight w:val="none"/>
              </w:rPr>
              <w:t>服务期限</w:t>
            </w:r>
          </w:p>
        </w:tc>
        <w:tc>
          <w:tcPr>
            <w:tcW w:w="6710" w:type="dxa"/>
            <w:vAlign w:val="center"/>
          </w:tcPr>
          <w:p w14:paraId="016FFCC6">
            <w:pPr>
              <w:spacing w:line="240" w:lineRule="auto"/>
              <w:jc w:val="center"/>
              <w:rPr>
                <w:rFonts w:hint="eastAsia" w:ascii="宋体" w:hAnsi="宋体" w:eastAsia="宋体" w:cs="宋体"/>
                <w:highlight w:val="none"/>
              </w:rPr>
            </w:pPr>
          </w:p>
        </w:tc>
      </w:tr>
      <w:tr w14:paraId="5E1E3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689" w:type="dxa"/>
            <w:vAlign w:val="center"/>
          </w:tcPr>
          <w:p w14:paraId="14D60EFE">
            <w:pPr>
              <w:spacing w:line="240" w:lineRule="auto"/>
              <w:jc w:val="center"/>
              <w:rPr>
                <w:rFonts w:hint="eastAsia" w:ascii="宋体" w:hAnsi="宋体" w:eastAsia="宋体" w:cs="宋体"/>
                <w:highlight w:val="none"/>
              </w:rPr>
            </w:pPr>
            <w:r>
              <w:rPr>
                <w:rFonts w:hint="eastAsia" w:ascii="宋体" w:hAnsi="宋体" w:eastAsia="宋体" w:cs="宋体"/>
                <w:highlight w:val="none"/>
              </w:rPr>
              <w:t>服务地点</w:t>
            </w:r>
          </w:p>
        </w:tc>
        <w:tc>
          <w:tcPr>
            <w:tcW w:w="6710" w:type="dxa"/>
            <w:vAlign w:val="center"/>
          </w:tcPr>
          <w:p w14:paraId="7309E835">
            <w:pPr>
              <w:spacing w:line="240" w:lineRule="auto"/>
              <w:jc w:val="center"/>
              <w:rPr>
                <w:rFonts w:hint="eastAsia" w:ascii="宋体" w:hAnsi="宋体" w:eastAsia="宋体" w:cs="宋体"/>
                <w:highlight w:val="none"/>
              </w:rPr>
            </w:pPr>
          </w:p>
        </w:tc>
      </w:tr>
      <w:tr w14:paraId="07841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689" w:type="dxa"/>
            <w:vAlign w:val="center"/>
          </w:tcPr>
          <w:p w14:paraId="47A91999">
            <w:pPr>
              <w:spacing w:line="240" w:lineRule="auto"/>
              <w:jc w:val="center"/>
              <w:rPr>
                <w:rFonts w:hint="eastAsia" w:ascii="宋体" w:hAnsi="宋体" w:eastAsia="宋体" w:cs="宋体"/>
                <w:highlight w:val="none"/>
              </w:rPr>
            </w:pPr>
            <w:r>
              <w:rPr>
                <w:rFonts w:hint="eastAsia" w:ascii="宋体" w:hAnsi="宋体" w:eastAsia="宋体" w:cs="宋体"/>
                <w:highlight w:val="none"/>
              </w:rPr>
              <w:t>服务标准</w:t>
            </w:r>
          </w:p>
        </w:tc>
        <w:tc>
          <w:tcPr>
            <w:tcW w:w="6710" w:type="dxa"/>
            <w:vAlign w:val="center"/>
          </w:tcPr>
          <w:p w14:paraId="3D47D35B">
            <w:pPr>
              <w:spacing w:line="240" w:lineRule="auto"/>
              <w:jc w:val="center"/>
              <w:rPr>
                <w:rFonts w:hint="eastAsia" w:ascii="宋体" w:hAnsi="宋体" w:eastAsia="宋体" w:cs="宋体"/>
                <w:highlight w:val="none"/>
              </w:rPr>
            </w:pPr>
          </w:p>
        </w:tc>
      </w:tr>
      <w:tr w14:paraId="5328E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689" w:type="dxa"/>
            <w:vAlign w:val="center"/>
          </w:tcPr>
          <w:p w14:paraId="72484CE6">
            <w:pPr>
              <w:spacing w:line="240" w:lineRule="auto"/>
              <w:jc w:val="center"/>
              <w:rPr>
                <w:rFonts w:hint="eastAsia" w:ascii="宋体" w:hAnsi="宋体" w:eastAsia="宋体" w:cs="宋体"/>
                <w:highlight w:val="none"/>
              </w:rPr>
            </w:pPr>
            <w:r>
              <w:rPr>
                <w:rFonts w:hint="eastAsia" w:ascii="宋体" w:hAnsi="宋体" w:eastAsia="宋体" w:cs="宋体"/>
                <w:highlight w:val="none"/>
              </w:rPr>
              <w:t>报价有效期</w:t>
            </w:r>
          </w:p>
        </w:tc>
        <w:tc>
          <w:tcPr>
            <w:tcW w:w="6710" w:type="dxa"/>
            <w:vAlign w:val="center"/>
          </w:tcPr>
          <w:p w14:paraId="5ABB012C">
            <w:pPr>
              <w:spacing w:line="240" w:lineRule="auto"/>
              <w:jc w:val="center"/>
              <w:rPr>
                <w:rFonts w:hint="eastAsia" w:ascii="宋体" w:hAnsi="宋体" w:eastAsia="宋体" w:cs="宋体"/>
                <w:highlight w:val="none"/>
              </w:rPr>
            </w:pPr>
          </w:p>
        </w:tc>
      </w:tr>
      <w:tr w14:paraId="5D064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8" w:hRule="atLeast"/>
          <w:jc w:val="center"/>
        </w:trPr>
        <w:tc>
          <w:tcPr>
            <w:tcW w:w="2689" w:type="dxa"/>
            <w:vAlign w:val="center"/>
          </w:tcPr>
          <w:p w14:paraId="01BED9D4">
            <w:pPr>
              <w:spacing w:line="240" w:lineRule="auto"/>
              <w:jc w:val="center"/>
              <w:rPr>
                <w:rFonts w:hint="eastAsia" w:ascii="宋体" w:hAnsi="宋体" w:eastAsia="宋体" w:cs="宋体"/>
                <w:highlight w:val="none"/>
                <w:lang w:val="en-US" w:eastAsia="zh-CN"/>
              </w:rPr>
            </w:pPr>
            <w:r>
              <w:rPr>
                <w:rFonts w:hint="eastAsia" w:cs="宋体"/>
                <w:highlight w:val="none"/>
                <w:lang w:val="en-US" w:eastAsia="zh-CN"/>
              </w:rPr>
              <w:t>备注</w:t>
            </w:r>
          </w:p>
        </w:tc>
        <w:tc>
          <w:tcPr>
            <w:tcW w:w="6710" w:type="dxa"/>
            <w:vAlign w:val="center"/>
          </w:tcPr>
          <w:p w14:paraId="19D7D3B9">
            <w:pPr>
              <w:spacing w:line="240" w:lineRule="auto"/>
              <w:jc w:val="center"/>
              <w:rPr>
                <w:rFonts w:hint="eastAsia" w:ascii="宋体" w:hAnsi="宋体" w:eastAsia="宋体" w:cs="宋体"/>
                <w:highlight w:val="none"/>
              </w:rPr>
            </w:pPr>
          </w:p>
        </w:tc>
      </w:tr>
    </w:tbl>
    <w:p w14:paraId="527BBE2D">
      <w:pPr>
        <w:tabs>
          <w:tab w:val="left" w:pos="567"/>
          <w:tab w:val="left" w:pos="1146"/>
          <w:tab w:val="left" w:pos="1719"/>
          <w:tab w:val="left" w:pos="2483"/>
        </w:tabs>
        <w:spacing w:before="120" w:line="300" w:lineRule="exact"/>
        <w:ind w:left="-32" w:leftChars="-30" w:hanging="40" w:hangingChars="17"/>
        <w:rPr>
          <w:rFonts w:hint="eastAsia"/>
          <w:highlight w:val="none"/>
        </w:rPr>
      </w:pPr>
      <w:r>
        <w:rPr>
          <w:rFonts w:hint="eastAsia"/>
          <w:highlight w:val="none"/>
        </w:rPr>
        <w:t>注：此表放在响应文件目录后的首页。</w:t>
      </w:r>
    </w:p>
    <w:p w14:paraId="13548DD2">
      <w:pPr>
        <w:spacing w:line="480" w:lineRule="auto"/>
        <w:rPr>
          <w:rFonts w:hint="eastAsia"/>
          <w:szCs w:val="20"/>
          <w:highlight w:val="none"/>
        </w:rPr>
      </w:pPr>
    </w:p>
    <w:p w14:paraId="3D46E58C">
      <w:pPr>
        <w:spacing w:line="480" w:lineRule="auto"/>
        <w:rPr>
          <w:rFonts w:hint="eastAsia"/>
          <w:szCs w:val="20"/>
          <w:highlight w:val="none"/>
        </w:rPr>
      </w:pPr>
      <w:r>
        <w:rPr>
          <w:rFonts w:hint="eastAsia"/>
          <w:szCs w:val="20"/>
          <w:highlight w:val="none"/>
        </w:rPr>
        <w:t>供应商名称：</w:t>
      </w:r>
      <w:r>
        <w:rPr>
          <w:rFonts w:hint="eastAsia"/>
          <w:szCs w:val="20"/>
          <w:highlight w:val="none"/>
          <w:u w:val="single"/>
        </w:rPr>
        <w:t xml:space="preserve">                                         </w:t>
      </w:r>
      <w:r>
        <w:rPr>
          <w:rFonts w:hint="eastAsia"/>
          <w:szCs w:val="20"/>
          <w:highlight w:val="none"/>
        </w:rPr>
        <w:t>（单位公章）</w:t>
      </w:r>
    </w:p>
    <w:p w14:paraId="63E0F091">
      <w:pPr>
        <w:spacing w:line="480" w:lineRule="auto"/>
        <w:rPr>
          <w:rFonts w:hint="eastAsia"/>
          <w:szCs w:val="20"/>
          <w:highlight w:val="none"/>
        </w:rPr>
      </w:pPr>
      <w:r>
        <w:rPr>
          <w:rFonts w:hint="eastAsia"/>
          <w:szCs w:val="20"/>
          <w:highlight w:val="none"/>
        </w:rPr>
        <w:t xml:space="preserve">法定代表人/负责人或授权代表人： </w:t>
      </w:r>
      <w:r>
        <w:rPr>
          <w:rFonts w:hint="eastAsia"/>
          <w:szCs w:val="20"/>
          <w:highlight w:val="none"/>
          <w:u w:val="single"/>
        </w:rPr>
        <w:t xml:space="preserve">                     </w:t>
      </w:r>
      <w:r>
        <w:rPr>
          <w:rFonts w:hint="eastAsia"/>
          <w:szCs w:val="20"/>
          <w:highlight w:val="none"/>
        </w:rPr>
        <w:t>（签字或盖章）</w:t>
      </w:r>
    </w:p>
    <w:p w14:paraId="4779DA2B">
      <w:pPr>
        <w:spacing w:line="480" w:lineRule="auto"/>
        <w:rPr>
          <w:rFonts w:hint="eastAsia"/>
          <w:szCs w:val="20"/>
          <w:highlight w:val="none"/>
        </w:rPr>
        <w:sectPr>
          <w:footerReference r:id="rId13" w:type="first"/>
          <w:headerReference r:id="rId10" w:type="default"/>
          <w:footerReference r:id="rId11" w:type="default"/>
          <w:footerReference r:id="rId12" w:type="even"/>
          <w:pgSz w:w="11906" w:h="16838"/>
          <w:pgMar w:top="1440" w:right="1440" w:bottom="1440" w:left="1440" w:header="851" w:footer="992" w:gutter="0"/>
          <w:pgNumType w:fmt="decimal"/>
          <w:cols w:space="0" w:num="1"/>
          <w:docGrid w:type="linesAndChars" w:linePitch="312" w:charSpace="0"/>
        </w:sectPr>
      </w:pPr>
      <w:r>
        <w:rPr>
          <w:rFonts w:hint="eastAsia"/>
          <w:szCs w:val="20"/>
          <w:highlight w:val="none"/>
        </w:rPr>
        <w:t>日      期：     年    月    日</w:t>
      </w:r>
    </w:p>
    <w:p w14:paraId="6D2E1F41">
      <w:pPr>
        <w:jc w:val="center"/>
        <w:rPr>
          <w:rFonts w:hint="eastAsia"/>
          <w:b/>
          <w:bCs/>
          <w:sz w:val="32"/>
          <w:szCs w:val="32"/>
          <w:highlight w:val="none"/>
        </w:rPr>
      </w:pPr>
      <w:bookmarkStart w:id="900" w:name="_Toc14525"/>
      <w:r>
        <w:rPr>
          <w:rFonts w:hint="eastAsia"/>
          <w:b/>
          <w:kern w:val="0"/>
          <w:sz w:val="32"/>
          <w:szCs w:val="20"/>
          <w:highlight w:val="none"/>
        </w:rPr>
        <w:t>2.</w:t>
      </w:r>
      <w:bookmarkEnd w:id="900"/>
      <w:r>
        <w:rPr>
          <w:rFonts w:hint="eastAsia"/>
          <w:b/>
          <w:bCs/>
          <w:sz w:val="32"/>
          <w:szCs w:val="32"/>
          <w:highlight w:val="none"/>
        </w:rPr>
        <w:t>报价函</w:t>
      </w:r>
    </w:p>
    <w:p w14:paraId="7E625A3B">
      <w:pPr>
        <w:tabs>
          <w:tab w:val="left" w:pos="5580"/>
        </w:tabs>
        <w:ind w:left="1080" w:hanging="1080"/>
        <w:rPr>
          <w:rFonts w:hint="eastAsia"/>
          <w:szCs w:val="20"/>
          <w:highlight w:val="none"/>
          <w:u w:val="single"/>
        </w:rPr>
      </w:pPr>
    </w:p>
    <w:p w14:paraId="1D71F7FA">
      <w:pPr>
        <w:keepNext w:val="0"/>
        <w:keepLines w:val="0"/>
        <w:pageBreakBefore w:val="0"/>
        <w:widowControl w:val="0"/>
        <w:tabs>
          <w:tab w:val="left" w:pos="5580"/>
        </w:tabs>
        <w:kinsoku/>
        <w:wordWrap/>
        <w:overflowPunct/>
        <w:topLinePunct w:val="0"/>
        <w:autoSpaceDE/>
        <w:autoSpaceDN/>
        <w:bidi w:val="0"/>
        <w:adjustRightInd/>
        <w:snapToGrid/>
        <w:spacing w:line="480" w:lineRule="auto"/>
        <w:ind w:left="1080" w:hanging="1080"/>
        <w:textAlignment w:val="auto"/>
        <w:rPr>
          <w:rFonts w:hint="eastAsia"/>
          <w:szCs w:val="20"/>
          <w:highlight w:val="none"/>
          <w:u w:val="single"/>
          <w:lang w:val="zh-CN"/>
        </w:rPr>
      </w:pPr>
      <w:r>
        <w:rPr>
          <w:rFonts w:hint="eastAsia"/>
          <w:szCs w:val="20"/>
          <w:highlight w:val="none"/>
          <w:u w:val="single"/>
        </w:rPr>
        <w:t>致采购人或采购代理机构</w:t>
      </w:r>
      <w:r>
        <w:rPr>
          <w:rFonts w:hint="eastAsia"/>
          <w:szCs w:val="20"/>
          <w:highlight w:val="none"/>
          <w:u w:val="single"/>
          <w:lang w:val="zh-CN"/>
        </w:rPr>
        <w:t>：</w:t>
      </w:r>
    </w:p>
    <w:p w14:paraId="57BF8201">
      <w:pPr>
        <w:pStyle w:val="28"/>
        <w:keepNext w:val="0"/>
        <w:keepLines w:val="0"/>
        <w:pageBreakBefore w:val="0"/>
        <w:widowControl w:val="0"/>
        <w:kinsoku/>
        <w:wordWrap/>
        <w:overflowPunct/>
        <w:topLinePunct w:val="0"/>
        <w:autoSpaceDE/>
        <w:autoSpaceDN/>
        <w:bidi w:val="0"/>
        <w:adjustRightInd/>
        <w:snapToGrid/>
        <w:spacing w:before="0" w:line="480" w:lineRule="auto"/>
        <w:textAlignment w:val="auto"/>
        <w:rPr>
          <w:rFonts w:hint="eastAsia"/>
          <w:sz w:val="15"/>
          <w:szCs w:val="15"/>
          <w:highlight w:val="none"/>
        </w:rPr>
      </w:pPr>
    </w:p>
    <w:p w14:paraId="3842F2EF">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highlight w:val="none"/>
        </w:rPr>
      </w:pPr>
      <w:r>
        <w:rPr>
          <w:rFonts w:hint="eastAsia"/>
          <w:highlight w:val="none"/>
        </w:rPr>
        <w:t>根据贵方</w:t>
      </w:r>
      <w:r>
        <w:rPr>
          <w:rFonts w:hint="eastAsia"/>
          <w:highlight w:val="none"/>
          <w:u w:val="single"/>
        </w:rPr>
        <w:t xml:space="preserve">(项目名称)         </w:t>
      </w:r>
      <w:r>
        <w:rPr>
          <w:rFonts w:hint="eastAsia"/>
          <w:highlight w:val="none"/>
        </w:rPr>
        <w:t>的响应文件</w:t>
      </w:r>
      <w:r>
        <w:rPr>
          <w:rFonts w:hint="eastAsia"/>
          <w:highlight w:val="none"/>
          <w:u w:val="single"/>
        </w:rPr>
        <w:t xml:space="preserve">(项目编号)       </w:t>
      </w:r>
      <w:r>
        <w:rPr>
          <w:rFonts w:hint="eastAsia"/>
          <w:highlight w:val="none"/>
          <w:u w:val="single"/>
          <w:lang w:eastAsia="zh-CN"/>
        </w:rPr>
        <w:t>（</w:t>
      </w:r>
      <w:r>
        <w:rPr>
          <w:rFonts w:hint="eastAsia"/>
          <w:highlight w:val="none"/>
          <w:u w:val="single"/>
          <w:lang w:val="en-US" w:eastAsia="zh-CN"/>
        </w:rPr>
        <w:t>包号</w:t>
      </w:r>
      <w:r>
        <w:rPr>
          <w:rFonts w:hint="eastAsia"/>
          <w:highlight w:val="none"/>
          <w:u w:val="single"/>
          <w:lang w:eastAsia="zh-CN"/>
        </w:rPr>
        <w:t>）</w:t>
      </w:r>
      <w:r>
        <w:rPr>
          <w:rFonts w:hint="eastAsia"/>
          <w:highlight w:val="none"/>
          <w:u w:val="single"/>
          <w:lang w:val="en-US" w:eastAsia="zh-CN"/>
        </w:rPr>
        <w:t xml:space="preserve">       </w:t>
      </w:r>
      <w:r>
        <w:rPr>
          <w:rFonts w:hint="eastAsia"/>
          <w:highlight w:val="none"/>
        </w:rPr>
        <w:t>，签字代表</w:t>
      </w:r>
      <w:r>
        <w:rPr>
          <w:rFonts w:hint="eastAsia"/>
          <w:highlight w:val="none"/>
          <w:u w:val="single"/>
        </w:rPr>
        <w:t>(姓名、职务)</w:t>
      </w:r>
      <w:r>
        <w:rPr>
          <w:rFonts w:hint="eastAsia"/>
          <w:highlight w:val="none"/>
        </w:rPr>
        <w:t>经正式授权并代表供应商</w:t>
      </w:r>
      <w:r>
        <w:rPr>
          <w:rFonts w:hint="eastAsia"/>
          <w:highlight w:val="none"/>
          <w:u w:val="single"/>
        </w:rPr>
        <w:t>（名称、地址）</w:t>
      </w:r>
      <w:r>
        <w:rPr>
          <w:rFonts w:hint="eastAsia"/>
          <w:highlight w:val="none"/>
        </w:rPr>
        <w:t>提交加密电子响应文件壹份</w:t>
      </w:r>
    </w:p>
    <w:p w14:paraId="7B6E8EBE">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highlight w:val="none"/>
        </w:rPr>
      </w:pPr>
      <w:r>
        <w:rPr>
          <w:rFonts w:hint="eastAsia"/>
          <w:highlight w:val="none"/>
        </w:rPr>
        <w:t>据此，签字代表宣布同意如下：</w:t>
      </w:r>
    </w:p>
    <w:p w14:paraId="5B66F9A5">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highlight w:val="none"/>
        </w:rPr>
      </w:pPr>
      <w:r>
        <w:rPr>
          <w:rFonts w:hint="eastAsia"/>
          <w:highlight w:val="none"/>
        </w:rPr>
        <w:t>（1）已详细审查全部竞争性磋商文件，包括所有补充通知（如果有的话），完全理解并同意放弃对这方面有不明、误解和质疑的权力。</w:t>
      </w:r>
    </w:p>
    <w:p w14:paraId="18841B11">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highlight w:val="none"/>
        </w:rPr>
      </w:pPr>
      <w:r>
        <w:rPr>
          <w:rFonts w:hint="eastAsia"/>
          <w:highlight w:val="none"/>
        </w:rPr>
        <w:t>（2）我方不是为本项目提供整体设计、规范编制或者项目管理、监理、检测等服务的供应商，我方不是采购代理机构的附属机构。</w:t>
      </w:r>
    </w:p>
    <w:p w14:paraId="1F0F12C6">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highlight w:val="none"/>
        </w:rPr>
      </w:pPr>
      <w:r>
        <w:rPr>
          <w:rFonts w:hint="eastAsia"/>
          <w:highlight w:val="none"/>
        </w:rPr>
        <w:t>（3）按照贵方可能要求，提供与其响应文件有关的一切数据或资料，完全理解贵方不一定接受最低价的响应文件或收到的任何响应文件。</w:t>
      </w:r>
    </w:p>
    <w:p w14:paraId="2050073B">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b/>
          <w:bCs/>
          <w:sz w:val="32"/>
          <w:szCs w:val="32"/>
          <w:highlight w:val="none"/>
        </w:rPr>
      </w:pPr>
      <w:r>
        <w:rPr>
          <w:rFonts w:hint="eastAsia"/>
          <w:highlight w:val="none"/>
        </w:rPr>
        <w:t xml:space="preserve">    （4） 按照竞争性磋商文件的规定履行合同责任和义务。</w:t>
      </w:r>
    </w:p>
    <w:p w14:paraId="393218FB">
      <w:pPr>
        <w:spacing w:line="480" w:lineRule="auto"/>
        <w:rPr>
          <w:rFonts w:hint="eastAsia"/>
          <w:szCs w:val="20"/>
          <w:highlight w:val="none"/>
        </w:rPr>
      </w:pPr>
    </w:p>
    <w:p w14:paraId="51F53803">
      <w:pPr>
        <w:pStyle w:val="29"/>
        <w:rPr>
          <w:rFonts w:hint="eastAsia"/>
          <w:highlight w:val="none"/>
        </w:rPr>
      </w:pPr>
    </w:p>
    <w:p w14:paraId="4772BB55">
      <w:pPr>
        <w:spacing w:line="480" w:lineRule="auto"/>
        <w:rPr>
          <w:rFonts w:hint="eastAsia"/>
          <w:szCs w:val="20"/>
          <w:highlight w:val="none"/>
        </w:rPr>
      </w:pPr>
      <w:r>
        <w:rPr>
          <w:rFonts w:hint="eastAsia"/>
          <w:szCs w:val="20"/>
          <w:highlight w:val="none"/>
        </w:rPr>
        <w:t>供应商名称：</w:t>
      </w:r>
      <w:r>
        <w:rPr>
          <w:rFonts w:hint="eastAsia"/>
          <w:szCs w:val="20"/>
          <w:highlight w:val="none"/>
          <w:u w:val="single"/>
        </w:rPr>
        <w:t xml:space="preserve">                                         </w:t>
      </w:r>
      <w:r>
        <w:rPr>
          <w:rFonts w:hint="eastAsia"/>
          <w:szCs w:val="20"/>
          <w:highlight w:val="none"/>
        </w:rPr>
        <w:t>（单位公章）</w:t>
      </w:r>
    </w:p>
    <w:p w14:paraId="17898978">
      <w:pPr>
        <w:spacing w:line="480" w:lineRule="auto"/>
        <w:rPr>
          <w:rFonts w:hint="eastAsia"/>
          <w:szCs w:val="20"/>
          <w:highlight w:val="none"/>
        </w:rPr>
      </w:pPr>
      <w:r>
        <w:rPr>
          <w:rFonts w:hint="eastAsia"/>
          <w:szCs w:val="20"/>
          <w:highlight w:val="none"/>
        </w:rPr>
        <w:t xml:space="preserve">法定代表人/负责人或授权代表人： </w:t>
      </w:r>
      <w:r>
        <w:rPr>
          <w:rFonts w:hint="eastAsia"/>
          <w:szCs w:val="20"/>
          <w:highlight w:val="none"/>
          <w:u w:val="single"/>
        </w:rPr>
        <w:t xml:space="preserve">                     </w:t>
      </w:r>
      <w:r>
        <w:rPr>
          <w:rFonts w:hint="eastAsia"/>
          <w:szCs w:val="20"/>
          <w:highlight w:val="none"/>
        </w:rPr>
        <w:t>（签字或盖章）</w:t>
      </w:r>
    </w:p>
    <w:p w14:paraId="126B6F0D">
      <w:pPr>
        <w:rPr>
          <w:rFonts w:hint="eastAsia"/>
          <w:highlight w:val="none"/>
        </w:rPr>
      </w:pPr>
      <w:r>
        <w:rPr>
          <w:rFonts w:hint="eastAsia"/>
          <w:szCs w:val="20"/>
          <w:highlight w:val="none"/>
        </w:rPr>
        <w:t>日      期：     年    月    日</w:t>
      </w:r>
      <w:r>
        <w:rPr>
          <w:rFonts w:hint="eastAsia"/>
          <w:highlight w:val="none"/>
        </w:rPr>
        <w:br w:type="page"/>
      </w:r>
    </w:p>
    <w:p w14:paraId="3E9010E0">
      <w:pPr>
        <w:jc w:val="center"/>
        <w:rPr>
          <w:rFonts w:hint="eastAsia"/>
          <w:b/>
          <w:bCs/>
          <w:sz w:val="32"/>
          <w:szCs w:val="32"/>
          <w:highlight w:val="none"/>
        </w:rPr>
      </w:pPr>
      <w:r>
        <w:rPr>
          <w:rFonts w:hint="eastAsia"/>
          <w:b/>
          <w:bCs/>
          <w:sz w:val="32"/>
          <w:szCs w:val="32"/>
          <w:highlight w:val="none"/>
        </w:rPr>
        <w:t>3.对竞争性磋商文件认同程度的声明</w:t>
      </w:r>
    </w:p>
    <w:p w14:paraId="37E44255">
      <w:pPr>
        <w:snapToGrid w:val="0"/>
        <w:spacing w:line="480" w:lineRule="auto"/>
        <w:textAlignment w:val="baseline"/>
        <w:rPr>
          <w:rFonts w:hint="eastAsia"/>
          <w:highlight w:val="none"/>
          <w:u w:val="single"/>
        </w:rPr>
      </w:pPr>
    </w:p>
    <w:p w14:paraId="4AD1925E">
      <w:pPr>
        <w:snapToGrid w:val="0"/>
        <w:spacing w:line="480" w:lineRule="auto"/>
        <w:textAlignment w:val="baseline"/>
        <w:rPr>
          <w:rFonts w:hint="eastAsia"/>
          <w:highlight w:val="none"/>
        </w:rPr>
      </w:pPr>
      <w:r>
        <w:rPr>
          <w:rFonts w:hint="eastAsia"/>
          <w:highlight w:val="none"/>
          <w:u w:val="single"/>
        </w:rPr>
        <w:t>致</w:t>
      </w:r>
      <w:r>
        <w:rPr>
          <w:rFonts w:hint="eastAsia"/>
          <w:szCs w:val="20"/>
          <w:highlight w:val="none"/>
          <w:u w:val="single"/>
        </w:rPr>
        <w:t>采购人或采购代理机构</w:t>
      </w:r>
      <w:r>
        <w:rPr>
          <w:rFonts w:hint="eastAsia"/>
          <w:highlight w:val="none"/>
        </w:rPr>
        <w:t>：</w:t>
      </w:r>
    </w:p>
    <w:p w14:paraId="45D108C8">
      <w:pPr>
        <w:pStyle w:val="28"/>
        <w:rPr>
          <w:rFonts w:hint="eastAsia"/>
          <w:highlight w:val="none"/>
        </w:rPr>
      </w:pPr>
    </w:p>
    <w:p w14:paraId="64E8F1AB">
      <w:pPr>
        <w:snapToGrid w:val="0"/>
        <w:spacing w:line="480" w:lineRule="auto"/>
        <w:ind w:firstLine="480" w:firstLineChars="200"/>
        <w:textAlignment w:val="baseline"/>
        <w:rPr>
          <w:rFonts w:hint="eastAsia"/>
          <w:sz w:val="20"/>
          <w:highlight w:val="none"/>
        </w:rPr>
      </w:pPr>
      <w:r>
        <w:rPr>
          <w:rFonts w:hint="eastAsia"/>
          <w:highlight w:val="none"/>
        </w:rPr>
        <w:t>经我方对《     （项目名称）      》（项目编号：      ）</w:t>
      </w:r>
      <w:r>
        <w:rPr>
          <w:rFonts w:hint="eastAsia"/>
          <w:highlight w:val="none"/>
          <w:u w:val="none"/>
          <w:lang w:eastAsia="zh-CN"/>
        </w:rPr>
        <w:t>（</w:t>
      </w:r>
      <w:r>
        <w:rPr>
          <w:rFonts w:hint="eastAsia"/>
          <w:highlight w:val="none"/>
          <w:u w:val="none"/>
          <w:lang w:val="en-US" w:eastAsia="zh-CN"/>
        </w:rPr>
        <w:t xml:space="preserve">包号：  </w:t>
      </w:r>
      <w:r>
        <w:rPr>
          <w:rFonts w:hint="eastAsia"/>
          <w:highlight w:val="none"/>
          <w:u w:val="none"/>
          <w:lang w:eastAsia="zh-CN"/>
        </w:rPr>
        <w:t>）</w:t>
      </w:r>
      <w:r>
        <w:rPr>
          <w:rFonts w:hint="eastAsia"/>
          <w:highlight w:val="none"/>
        </w:rPr>
        <w:t>仔细、认真的研究之后，对竞争性磋商文件中所有的规定要求、条件全部确认，对竞争性磋商文件的全部内容予以认同。</w:t>
      </w:r>
    </w:p>
    <w:p w14:paraId="578C1EF0">
      <w:pPr>
        <w:ind w:firstLine="480" w:firstLineChars="200"/>
        <w:rPr>
          <w:rFonts w:hint="eastAsia"/>
          <w:highlight w:val="none"/>
        </w:rPr>
      </w:pPr>
      <w:r>
        <w:rPr>
          <w:rFonts w:hint="eastAsia"/>
          <w:highlight w:val="none"/>
        </w:rPr>
        <w:t>特此声明！</w:t>
      </w:r>
    </w:p>
    <w:p w14:paraId="358BB3A8">
      <w:pPr>
        <w:rPr>
          <w:rFonts w:hint="eastAsia"/>
          <w:highlight w:val="none"/>
        </w:rPr>
      </w:pPr>
    </w:p>
    <w:p w14:paraId="4B77FF09">
      <w:pPr>
        <w:spacing w:line="480" w:lineRule="auto"/>
        <w:rPr>
          <w:rFonts w:hint="eastAsia"/>
          <w:szCs w:val="20"/>
          <w:highlight w:val="none"/>
        </w:rPr>
      </w:pPr>
      <w:r>
        <w:rPr>
          <w:rFonts w:hint="eastAsia"/>
          <w:szCs w:val="20"/>
          <w:highlight w:val="none"/>
        </w:rPr>
        <w:t>供应商名称：</w:t>
      </w:r>
      <w:r>
        <w:rPr>
          <w:rFonts w:hint="eastAsia"/>
          <w:szCs w:val="20"/>
          <w:highlight w:val="none"/>
          <w:u w:val="single"/>
        </w:rPr>
        <w:t xml:space="preserve">                                         </w:t>
      </w:r>
      <w:r>
        <w:rPr>
          <w:rFonts w:hint="eastAsia"/>
          <w:szCs w:val="20"/>
          <w:highlight w:val="none"/>
        </w:rPr>
        <w:t>（单位公章）</w:t>
      </w:r>
    </w:p>
    <w:p w14:paraId="557FCF4A">
      <w:pPr>
        <w:spacing w:line="480" w:lineRule="auto"/>
        <w:rPr>
          <w:rFonts w:hint="eastAsia"/>
          <w:szCs w:val="20"/>
          <w:highlight w:val="none"/>
        </w:rPr>
      </w:pPr>
      <w:r>
        <w:rPr>
          <w:rFonts w:hint="eastAsia"/>
          <w:szCs w:val="20"/>
          <w:highlight w:val="none"/>
        </w:rPr>
        <w:t xml:space="preserve">法定代表人/负责人或授权代表人： </w:t>
      </w:r>
      <w:r>
        <w:rPr>
          <w:rFonts w:hint="eastAsia"/>
          <w:szCs w:val="20"/>
          <w:highlight w:val="none"/>
          <w:u w:val="single"/>
        </w:rPr>
        <w:t xml:space="preserve">                     </w:t>
      </w:r>
      <w:r>
        <w:rPr>
          <w:rFonts w:hint="eastAsia"/>
          <w:szCs w:val="20"/>
          <w:highlight w:val="none"/>
        </w:rPr>
        <w:t>（签字或盖章）</w:t>
      </w:r>
    </w:p>
    <w:p w14:paraId="23402D9D">
      <w:pPr>
        <w:rPr>
          <w:rFonts w:hint="eastAsia"/>
          <w:b/>
          <w:bCs/>
          <w:sz w:val="32"/>
          <w:szCs w:val="32"/>
          <w:highlight w:val="none"/>
        </w:rPr>
      </w:pPr>
      <w:r>
        <w:rPr>
          <w:rFonts w:hint="eastAsia"/>
          <w:szCs w:val="20"/>
          <w:highlight w:val="none"/>
        </w:rPr>
        <w:t>日      期：     年    月    日</w:t>
      </w:r>
    </w:p>
    <w:p w14:paraId="7022B0CE">
      <w:pPr>
        <w:rPr>
          <w:rFonts w:hint="eastAsia"/>
          <w:b/>
          <w:bCs/>
          <w:sz w:val="32"/>
          <w:szCs w:val="32"/>
          <w:highlight w:val="none"/>
        </w:rPr>
      </w:pPr>
      <w:r>
        <w:rPr>
          <w:rFonts w:hint="eastAsia"/>
          <w:b/>
          <w:bCs/>
          <w:sz w:val="32"/>
          <w:szCs w:val="32"/>
          <w:highlight w:val="none"/>
        </w:rPr>
        <w:br w:type="page"/>
      </w:r>
    </w:p>
    <w:p w14:paraId="7DE5C7B1">
      <w:pPr>
        <w:jc w:val="center"/>
        <w:rPr>
          <w:rFonts w:hint="eastAsia"/>
          <w:highlight w:val="none"/>
        </w:rPr>
      </w:pPr>
      <w:r>
        <w:rPr>
          <w:rFonts w:hint="eastAsia"/>
          <w:b/>
          <w:bCs/>
          <w:sz w:val="32"/>
          <w:szCs w:val="32"/>
          <w:highlight w:val="none"/>
        </w:rPr>
        <w:t>4.供应商认为竞争性磋商文件中需要体现的其它报价材料</w:t>
      </w:r>
    </w:p>
    <w:p w14:paraId="732AD10D">
      <w:pPr>
        <w:jc w:val="center"/>
        <w:rPr>
          <w:rFonts w:hint="eastAsia"/>
          <w:sz w:val="30"/>
          <w:szCs w:val="30"/>
          <w:highlight w:val="none"/>
        </w:rPr>
      </w:pPr>
      <w:r>
        <w:rPr>
          <w:rFonts w:hint="eastAsia"/>
          <w:highlight w:val="none"/>
        </w:rPr>
        <w:t>格式自拟</w:t>
      </w:r>
      <w:r>
        <w:rPr>
          <w:rFonts w:hint="eastAsia"/>
          <w:highlight w:val="none"/>
        </w:rPr>
        <w:br w:type="page"/>
      </w:r>
      <w:r>
        <w:rPr>
          <w:rFonts w:hint="eastAsia"/>
          <w:b/>
          <w:bCs/>
          <w:sz w:val="32"/>
          <w:szCs w:val="32"/>
          <w:highlight w:val="none"/>
        </w:rPr>
        <w:t>四、商务部分（含资信）</w:t>
      </w:r>
    </w:p>
    <w:p w14:paraId="0846EEB0">
      <w:pPr>
        <w:numPr>
          <w:ilvl w:val="0"/>
          <w:numId w:val="0"/>
        </w:numPr>
        <w:ind w:left="400" w:leftChars="0"/>
        <w:outlineLvl w:val="0"/>
        <w:rPr>
          <w:rFonts w:hint="eastAsia"/>
          <w:highlight w:val="none"/>
        </w:rPr>
      </w:pPr>
      <w:bookmarkStart w:id="901" w:name="_Toc32229"/>
      <w:bookmarkStart w:id="902" w:name="_Toc8366"/>
      <w:bookmarkStart w:id="903" w:name="_Toc2446"/>
      <w:bookmarkStart w:id="904" w:name="_Toc30324"/>
      <w:bookmarkStart w:id="905" w:name="_Toc31964"/>
    </w:p>
    <w:p w14:paraId="4CA2D463">
      <w:pPr>
        <w:numPr>
          <w:ilvl w:val="0"/>
          <w:numId w:val="6"/>
        </w:numPr>
        <w:outlineLvl w:val="0"/>
        <w:rPr>
          <w:rFonts w:hint="eastAsia"/>
          <w:highlight w:val="none"/>
        </w:rPr>
      </w:pPr>
      <w:bookmarkStart w:id="906" w:name="_Toc13555"/>
      <w:r>
        <w:rPr>
          <w:rFonts w:hint="eastAsia"/>
          <w:highlight w:val="none"/>
          <w:lang w:val="zh-CN"/>
        </w:rPr>
        <w:t>菏泽市政府采购供应商资格信用承诺函</w:t>
      </w:r>
      <w:r>
        <w:rPr>
          <w:rFonts w:hint="eastAsia"/>
          <w:highlight w:val="none"/>
        </w:rPr>
        <w:t>；</w:t>
      </w:r>
      <w:bookmarkEnd w:id="901"/>
      <w:bookmarkEnd w:id="902"/>
      <w:bookmarkEnd w:id="903"/>
      <w:bookmarkEnd w:id="904"/>
      <w:bookmarkEnd w:id="905"/>
      <w:bookmarkEnd w:id="906"/>
    </w:p>
    <w:p w14:paraId="1DBAACC3">
      <w:pPr>
        <w:numPr>
          <w:ilvl w:val="0"/>
          <w:numId w:val="6"/>
        </w:numPr>
        <w:outlineLvl w:val="0"/>
        <w:rPr>
          <w:rFonts w:hint="eastAsia"/>
          <w:highlight w:val="none"/>
          <w:lang w:val="zh-CN"/>
        </w:rPr>
      </w:pPr>
      <w:bookmarkStart w:id="907" w:name="_Toc13597"/>
      <w:bookmarkStart w:id="908" w:name="_Toc24959"/>
      <w:bookmarkStart w:id="909" w:name="_Toc14074"/>
      <w:bookmarkStart w:id="910" w:name="_Toc28063"/>
      <w:bookmarkStart w:id="911" w:name="_Toc7981"/>
      <w:bookmarkStart w:id="912" w:name="_Toc23575"/>
      <w:bookmarkStart w:id="913" w:name="_Toc8856"/>
      <w:bookmarkStart w:id="914" w:name="_Toc17727"/>
      <w:bookmarkStart w:id="915" w:name="_Toc29018"/>
      <w:bookmarkStart w:id="916" w:name="_Toc29074"/>
      <w:bookmarkStart w:id="917" w:name="_Toc17678"/>
      <w:bookmarkStart w:id="918" w:name="_Toc10375"/>
      <w:bookmarkStart w:id="919" w:name="_Toc879"/>
      <w:bookmarkStart w:id="920" w:name="_Toc20426"/>
      <w:r>
        <w:rPr>
          <w:rFonts w:hint="eastAsia"/>
          <w:highlight w:val="none"/>
          <w:lang w:val="zh-CN"/>
        </w:rPr>
        <w:t>法定代表人/负责人身份证明书；</w:t>
      </w:r>
      <w:bookmarkEnd w:id="907"/>
      <w:bookmarkEnd w:id="908"/>
      <w:bookmarkEnd w:id="909"/>
    </w:p>
    <w:p w14:paraId="1D8283AB">
      <w:pPr>
        <w:numPr>
          <w:ilvl w:val="0"/>
          <w:numId w:val="6"/>
        </w:numPr>
        <w:outlineLvl w:val="0"/>
        <w:rPr>
          <w:rFonts w:hint="eastAsia"/>
          <w:highlight w:val="none"/>
          <w:lang w:val="zh-CN"/>
        </w:rPr>
      </w:pPr>
      <w:bookmarkStart w:id="921" w:name="_Toc8689"/>
      <w:bookmarkStart w:id="922" w:name="_Toc9428"/>
      <w:r>
        <w:rPr>
          <w:rFonts w:hint="eastAsia"/>
          <w:highlight w:val="none"/>
          <w:lang w:val="zh-CN"/>
        </w:rPr>
        <w:t>法定代表人/负责人授权委托书；</w:t>
      </w:r>
      <w:bookmarkEnd w:id="910"/>
      <w:bookmarkEnd w:id="911"/>
      <w:bookmarkEnd w:id="912"/>
      <w:bookmarkEnd w:id="913"/>
      <w:bookmarkEnd w:id="914"/>
      <w:bookmarkEnd w:id="915"/>
      <w:bookmarkEnd w:id="921"/>
      <w:bookmarkEnd w:id="922"/>
    </w:p>
    <w:bookmarkEnd w:id="916"/>
    <w:bookmarkEnd w:id="917"/>
    <w:bookmarkEnd w:id="918"/>
    <w:bookmarkEnd w:id="919"/>
    <w:bookmarkEnd w:id="920"/>
    <w:p w14:paraId="13098E84">
      <w:pPr>
        <w:numPr>
          <w:ilvl w:val="0"/>
          <w:numId w:val="6"/>
        </w:numPr>
        <w:outlineLvl w:val="0"/>
        <w:rPr>
          <w:rFonts w:hint="eastAsia"/>
          <w:highlight w:val="none"/>
        </w:rPr>
      </w:pPr>
      <w:bookmarkStart w:id="923" w:name="_Toc22524"/>
      <w:bookmarkStart w:id="924" w:name="_Toc23276"/>
      <w:bookmarkStart w:id="925" w:name="_Toc27101"/>
      <w:bookmarkStart w:id="926" w:name="_Toc12805"/>
      <w:bookmarkStart w:id="927" w:name="_Toc28146"/>
      <w:bookmarkStart w:id="928" w:name="_Toc29802"/>
      <w:bookmarkStart w:id="929" w:name="_Toc13796"/>
      <w:bookmarkStart w:id="930" w:name="_Toc29993"/>
      <w:bookmarkStart w:id="931" w:name="_Toc30462"/>
      <w:bookmarkStart w:id="932" w:name="_Toc26666"/>
      <w:bookmarkStart w:id="933" w:name="_Toc25686"/>
      <w:bookmarkStart w:id="934" w:name="_Toc1090"/>
      <w:r>
        <w:rPr>
          <w:rFonts w:hint="eastAsia" w:ascii="宋体" w:hAnsi="宋体" w:eastAsia="宋体" w:cs="宋体"/>
          <w:b w:val="0"/>
          <w:bCs w:val="0"/>
          <w:sz w:val="24"/>
          <w:szCs w:val="24"/>
          <w:highlight w:val="none"/>
          <w:vertAlign w:val="baseline"/>
          <w:lang w:val="en-US" w:eastAsia="zh-CN"/>
        </w:rPr>
        <w:t>参加本次政府采购活动前三年内（成立不足三年的自成立之日起），在经营活动中没有重大违法记录的书面声明</w:t>
      </w:r>
      <w:r>
        <w:rPr>
          <w:rFonts w:hint="eastAsia"/>
          <w:highlight w:val="none"/>
        </w:rPr>
        <w:t>；</w:t>
      </w:r>
      <w:bookmarkEnd w:id="923"/>
      <w:bookmarkStart w:id="935" w:name="_Toc19466"/>
      <w:bookmarkStart w:id="936" w:name="_Toc22748"/>
      <w:bookmarkStart w:id="937" w:name="_Toc4570"/>
      <w:bookmarkStart w:id="938" w:name="_Toc12844"/>
      <w:bookmarkStart w:id="939" w:name="_Toc16114"/>
      <w:bookmarkStart w:id="940" w:name="_Toc1623"/>
      <w:bookmarkStart w:id="941" w:name="_Toc15916"/>
    </w:p>
    <w:bookmarkEnd w:id="935"/>
    <w:bookmarkEnd w:id="936"/>
    <w:bookmarkEnd w:id="937"/>
    <w:bookmarkEnd w:id="938"/>
    <w:bookmarkEnd w:id="939"/>
    <w:bookmarkEnd w:id="940"/>
    <w:bookmarkEnd w:id="941"/>
    <w:p w14:paraId="2B426A6D">
      <w:pPr>
        <w:numPr>
          <w:ilvl w:val="0"/>
          <w:numId w:val="6"/>
        </w:numPr>
        <w:outlineLvl w:val="0"/>
        <w:rPr>
          <w:rFonts w:hint="eastAsia"/>
          <w:highlight w:val="none"/>
        </w:rPr>
      </w:pPr>
      <w:bookmarkStart w:id="942" w:name="_Toc368"/>
      <w:r>
        <w:rPr>
          <w:rFonts w:hint="eastAsia"/>
          <w:highlight w:val="none"/>
        </w:rPr>
        <w:t>用于评审的政府采购政策的证明材料；</w:t>
      </w:r>
      <w:bookmarkEnd w:id="924"/>
      <w:bookmarkEnd w:id="925"/>
      <w:bookmarkEnd w:id="926"/>
      <w:bookmarkEnd w:id="927"/>
      <w:bookmarkEnd w:id="928"/>
      <w:bookmarkEnd w:id="929"/>
      <w:bookmarkEnd w:id="930"/>
      <w:bookmarkEnd w:id="931"/>
      <w:bookmarkEnd w:id="932"/>
      <w:bookmarkEnd w:id="933"/>
      <w:bookmarkEnd w:id="934"/>
      <w:bookmarkEnd w:id="942"/>
    </w:p>
    <w:p w14:paraId="7C9B0AB6">
      <w:pPr>
        <w:numPr>
          <w:ilvl w:val="0"/>
          <w:numId w:val="6"/>
        </w:numPr>
        <w:outlineLvl w:val="0"/>
        <w:rPr>
          <w:rFonts w:hint="eastAsia"/>
          <w:highlight w:val="none"/>
        </w:rPr>
      </w:pPr>
      <w:bookmarkStart w:id="943" w:name="_Toc26390"/>
      <w:r>
        <w:rPr>
          <w:rFonts w:hint="eastAsia"/>
          <w:highlight w:val="none"/>
        </w:rPr>
        <w:t>公司简介</w:t>
      </w:r>
      <w:r>
        <w:rPr>
          <w:rFonts w:hint="eastAsia"/>
          <w:highlight w:val="none"/>
          <w:lang w:val="en-US" w:eastAsia="zh-CN"/>
        </w:rPr>
        <w:t>及资格审查资料</w:t>
      </w:r>
      <w:r>
        <w:rPr>
          <w:rFonts w:hint="eastAsia"/>
          <w:highlight w:val="none"/>
        </w:rPr>
        <w:t>；</w:t>
      </w:r>
      <w:bookmarkEnd w:id="943"/>
    </w:p>
    <w:p w14:paraId="2DF99830">
      <w:pPr>
        <w:numPr>
          <w:ilvl w:val="0"/>
          <w:numId w:val="6"/>
        </w:numPr>
        <w:outlineLvl w:val="0"/>
        <w:rPr>
          <w:rFonts w:hint="eastAsia"/>
          <w:highlight w:val="none"/>
        </w:rPr>
      </w:pPr>
      <w:bookmarkStart w:id="944" w:name="_Toc1809"/>
      <w:bookmarkStart w:id="945" w:name="_Toc25132"/>
      <w:bookmarkStart w:id="946" w:name="_Toc28014"/>
      <w:bookmarkStart w:id="947" w:name="_Toc27049"/>
      <w:bookmarkStart w:id="948" w:name="_Toc20066"/>
      <w:bookmarkStart w:id="949" w:name="_Toc7123"/>
      <w:bookmarkStart w:id="950" w:name="_Toc26131"/>
      <w:bookmarkStart w:id="951" w:name="_Toc5823"/>
      <w:bookmarkStart w:id="952" w:name="_Toc4972"/>
      <w:bookmarkStart w:id="953" w:name="_Toc20649"/>
      <w:bookmarkStart w:id="954" w:name="_Toc16481"/>
      <w:bookmarkStart w:id="955" w:name="_Toc6160"/>
      <w:r>
        <w:rPr>
          <w:rFonts w:hint="eastAsia"/>
          <w:highlight w:val="none"/>
        </w:rPr>
        <w:t>供应商认为响应文件中需要体现的其它商务材料</w:t>
      </w:r>
      <w:bookmarkEnd w:id="944"/>
      <w:bookmarkEnd w:id="945"/>
      <w:bookmarkEnd w:id="946"/>
      <w:bookmarkEnd w:id="947"/>
      <w:bookmarkEnd w:id="948"/>
      <w:bookmarkEnd w:id="949"/>
      <w:bookmarkEnd w:id="950"/>
      <w:bookmarkEnd w:id="951"/>
      <w:bookmarkEnd w:id="952"/>
      <w:bookmarkEnd w:id="953"/>
      <w:bookmarkEnd w:id="954"/>
      <w:r>
        <w:rPr>
          <w:rFonts w:hint="eastAsia"/>
          <w:highlight w:val="none"/>
        </w:rPr>
        <w:t>......</w:t>
      </w:r>
      <w:bookmarkEnd w:id="955"/>
    </w:p>
    <w:p w14:paraId="5B5032F1">
      <w:pPr>
        <w:ind w:left="400"/>
        <w:outlineLvl w:val="0"/>
        <w:rPr>
          <w:rFonts w:hint="eastAsia"/>
          <w:highlight w:val="none"/>
        </w:rPr>
      </w:pPr>
    </w:p>
    <w:p w14:paraId="2EBF28A9">
      <w:pPr>
        <w:pStyle w:val="38"/>
        <w:rPr>
          <w:rFonts w:hint="eastAsia"/>
          <w:highlight w:val="none"/>
        </w:rPr>
      </w:pPr>
    </w:p>
    <w:p w14:paraId="76879E74">
      <w:pPr>
        <w:rPr>
          <w:rFonts w:hint="eastAsia"/>
          <w:highlight w:val="none"/>
        </w:rPr>
      </w:pPr>
      <w:r>
        <w:rPr>
          <w:rFonts w:hint="eastAsia"/>
          <w:b/>
          <w:bCs/>
          <w:highlight w:val="none"/>
          <w:u w:val="single"/>
        </w:rPr>
        <w:t>注：以上无格式的条文，由供应商根据竞争性磋商文件要求自行编制，格式自拟。</w:t>
      </w:r>
    </w:p>
    <w:p w14:paraId="4BD6B7C9">
      <w:pPr>
        <w:pStyle w:val="38"/>
        <w:rPr>
          <w:rFonts w:hint="eastAsia"/>
          <w:highlight w:val="none"/>
        </w:rPr>
      </w:pPr>
    </w:p>
    <w:p w14:paraId="07556660">
      <w:pPr>
        <w:rPr>
          <w:rFonts w:hint="eastAsia"/>
          <w:b/>
          <w:bCs/>
          <w:sz w:val="32"/>
          <w:szCs w:val="32"/>
          <w:highlight w:val="none"/>
        </w:rPr>
      </w:pPr>
      <w:r>
        <w:rPr>
          <w:rFonts w:hint="eastAsia"/>
          <w:b/>
          <w:bCs/>
          <w:sz w:val="32"/>
          <w:szCs w:val="32"/>
          <w:highlight w:val="none"/>
        </w:rPr>
        <w:br w:type="page"/>
      </w:r>
    </w:p>
    <w:p w14:paraId="6B70017E">
      <w:pPr>
        <w:jc w:val="center"/>
        <w:rPr>
          <w:rFonts w:hint="eastAsia"/>
          <w:b/>
          <w:bCs/>
          <w:sz w:val="32"/>
          <w:szCs w:val="32"/>
          <w:highlight w:val="none"/>
          <w:lang w:val="zh-CN"/>
        </w:rPr>
      </w:pPr>
      <w:r>
        <w:rPr>
          <w:rFonts w:hint="eastAsia"/>
          <w:b/>
          <w:bCs/>
          <w:sz w:val="32"/>
          <w:szCs w:val="32"/>
          <w:highlight w:val="none"/>
        </w:rPr>
        <w:t>1.</w:t>
      </w:r>
      <w:r>
        <w:rPr>
          <w:rFonts w:hint="eastAsia"/>
          <w:b/>
          <w:bCs/>
          <w:sz w:val="32"/>
          <w:szCs w:val="32"/>
          <w:highlight w:val="none"/>
          <w:lang w:val="zh-CN"/>
        </w:rPr>
        <w:t>菏泽市政府采购供应商资格信用承诺函</w:t>
      </w:r>
    </w:p>
    <w:p w14:paraId="66840005">
      <w:pPr>
        <w:jc w:val="center"/>
        <w:rPr>
          <w:rFonts w:hint="eastAsia" w:eastAsia="宋体"/>
          <w:b/>
          <w:bCs/>
          <w:sz w:val="32"/>
          <w:szCs w:val="32"/>
          <w:highlight w:val="none"/>
          <w:lang w:val="en-US" w:eastAsia="zh-CN"/>
        </w:rPr>
      </w:pPr>
      <w:r>
        <w:rPr>
          <w:rFonts w:hint="eastAsia"/>
          <w:b/>
          <w:bCs/>
          <w:sz w:val="32"/>
          <w:szCs w:val="32"/>
          <w:highlight w:val="none"/>
          <w:lang w:val="en-US" w:eastAsia="zh-CN"/>
        </w:rPr>
        <w:t>1.1为</w:t>
      </w:r>
      <w:r>
        <w:rPr>
          <w:rFonts w:hint="eastAsia"/>
          <w:b/>
          <w:bCs/>
          <w:sz w:val="32"/>
          <w:szCs w:val="32"/>
          <w:highlight w:val="none"/>
          <w:lang w:val="zh-CN"/>
        </w:rPr>
        <w:t>法人或其他组织</w:t>
      </w:r>
      <w:r>
        <w:rPr>
          <w:rFonts w:hint="eastAsia"/>
          <w:b/>
          <w:bCs/>
          <w:sz w:val="32"/>
          <w:szCs w:val="32"/>
          <w:highlight w:val="none"/>
          <w:lang w:val="en-US" w:eastAsia="zh-CN"/>
        </w:rPr>
        <w:t>的</w:t>
      </w:r>
    </w:p>
    <w:p w14:paraId="734492A6">
      <w:pPr>
        <w:ind w:firstLine="480" w:firstLineChars="200"/>
        <w:rPr>
          <w:rFonts w:hint="eastAsia"/>
          <w:color w:val="000000"/>
          <w:highlight w:val="none"/>
        </w:rPr>
      </w:pPr>
      <w:r>
        <w:rPr>
          <w:rFonts w:hint="eastAsia"/>
          <w:color w:val="000000"/>
          <w:highlight w:val="none"/>
        </w:rPr>
        <w:t>我公司自愿参加（</w:t>
      </w:r>
      <w:r>
        <w:rPr>
          <w:rFonts w:hint="eastAsia"/>
          <w:color w:val="000000"/>
          <w:highlight w:val="none"/>
          <w:u w:val="single"/>
        </w:rPr>
        <w:t>项目名称</w:t>
      </w:r>
      <w:r>
        <w:rPr>
          <w:rFonts w:hint="eastAsia"/>
          <w:color w:val="000000"/>
          <w:highlight w:val="none"/>
        </w:rPr>
        <w:t>）政府采购活动，并郑重承诺：</w:t>
      </w:r>
    </w:p>
    <w:p w14:paraId="3D40AC6A">
      <w:pPr>
        <w:ind w:firstLine="480" w:firstLineChars="200"/>
        <w:rPr>
          <w:rFonts w:hint="eastAsia"/>
          <w:color w:val="000000"/>
          <w:highlight w:val="none"/>
        </w:rPr>
      </w:pPr>
      <w:r>
        <w:rPr>
          <w:rFonts w:hint="eastAsia"/>
          <w:color w:val="000000"/>
          <w:highlight w:val="none"/>
        </w:rPr>
        <w:t>我公司符合下列要求：</w:t>
      </w:r>
    </w:p>
    <w:p w14:paraId="3F40022B">
      <w:pPr>
        <w:ind w:firstLine="480" w:firstLineChars="200"/>
        <w:rPr>
          <w:rFonts w:hint="eastAsia"/>
          <w:color w:val="000000"/>
          <w:highlight w:val="none"/>
        </w:rPr>
      </w:pPr>
      <w:r>
        <w:rPr>
          <w:rFonts w:hint="eastAsia"/>
          <w:color w:val="000000"/>
          <w:highlight w:val="none"/>
        </w:rPr>
        <w:t>（1）具有独立承担民事责任的能力；</w:t>
      </w:r>
    </w:p>
    <w:p w14:paraId="796CE30D">
      <w:pPr>
        <w:ind w:firstLine="480" w:firstLineChars="200"/>
        <w:rPr>
          <w:rFonts w:hint="eastAsia"/>
          <w:color w:val="000000"/>
          <w:highlight w:val="none"/>
        </w:rPr>
      </w:pPr>
      <w:r>
        <w:rPr>
          <w:rFonts w:hint="eastAsia"/>
          <w:color w:val="000000"/>
          <w:highlight w:val="none"/>
        </w:rPr>
        <w:t>（2）具有良好的商业信誉和健全的财务会计制度；</w:t>
      </w:r>
    </w:p>
    <w:p w14:paraId="1CAD25EA">
      <w:pPr>
        <w:ind w:firstLine="480" w:firstLineChars="200"/>
        <w:rPr>
          <w:rFonts w:hint="eastAsia"/>
          <w:color w:val="000000"/>
          <w:highlight w:val="none"/>
        </w:rPr>
      </w:pPr>
      <w:r>
        <w:rPr>
          <w:rFonts w:hint="eastAsia"/>
          <w:color w:val="000000"/>
          <w:highlight w:val="none"/>
        </w:rPr>
        <w:t>（3）具有履行合同所必需的设备和专业技术能力；</w:t>
      </w:r>
    </w:p>
    <w:p w14:paraId="7F12CC40">
      <w:pPr>
        <w:ind w:firstLine="480" w:firstLineChars="200"/>
        <w:rPr>
          <w:rFonts w:hint="eastAsia"/>
          <w:color w:val="000000"/>
          <w:highlight w:val="none"/>
        </w:rPr>
      </w:pPr>
      <w:r>
        <w:rPr>
          <w:rFonts w:hint="eastAsia"/>
          <w:color w:val="000000"/>
          <w:highlight w:val="none"/>
        </w:rPr>
        <w:t>（4）具有依法缴纳税收和社会保障资金的良好记录；</w:t>
      </w:r>
    </w:p>
    <w:p w14:paraId="77B9D07E">
      <w:pPr>
        <w:ind w:firstLine="480" w:firstLineChars="200"/>
        <w:rPr>
          <w:rFonts w:hint="eastAsia"/>
          <w:color w:val="000000"/>
          <w:highlight w:val="none"/>
        </w:rPr>
      </w:pPr>
      <w:r>
        <w:rPr>
          <w:rFonts w:hint="eastAsia"/>
          <w:color w:val="000000"/>
          <w:highlight w:val="none"/>
        </w:rPr>
        <w:t>（5）参加政府采购活动（以开启时间为准）前3年内，供应商</w:t>
      </w:r>
      <w:r>
        <w:rPr>
          <w:rFonts w:hint="eastAsia"/>
          <w:highlight w:val="none"/>
        </w:rPr>
        <w:t>和其</w:t>
      </w:r>
      <w:r>
        <w:rPr>
          <w:rFonts w:hint="eastAsia"/>
          <w:color w:val="000000"/>
          <w:highlight w:val="none"/>
        </w:rPr>
        <w:t>法定代表人无行贿犯罪行为且在经营活动中没有重大违法记录以及本项目开启时未被禁止参加本项目所在地的政府采购活动的证明材料；</w:t>
      </w:r>
    </w:p>
    <w:p w14:paraId="342FA948">
      <w:pPr>
        <w:ind w:firstLine="480" w:firstLineChars="200"/>
        <w:rPr>
          <w:rFonts w:hint="eastAsia"/>
          <w:highlight w:val="none"/>
        </w:rPr>
      </w:pPr>
      <w:r>
        <w:rPr>
          <w:rFonts w:hint="eastAsia"/>
          <w:color w:val="000000"/>
          <w:highlight w:val="none"/>
        </w:rPr>
        <w:t>（6）法律、行政法规和</w:t>
      </w:r>
      <w:r>
        <w:rPr>
          <w:rFonts w:hint="eastAsia"/>
          <w:color w:val="000000"/>
          <w:highlight w:val="none"/>
          <w:lang w:eastAsia="zh-CN"/>
        </w:rPr>
        <w:t>竞争性磋商文件</w:t>
      </w:r>
      <w:r>
        <w:rPr>
          <w:rFonts w:hint="eastAsia"/>
          <w:color w:val="000000"/>
          <w:highlight w:val="none"/>
        </w:rPr>
        <w:t>规定的其他条件。</w:t>
      </w:r>
    </w:p>
    <w:p w14:paraId="35B9DCA0">
      <w:pPr>
        <w:ind w:firstLine="480" w:firstLineChars="200"/>
        <w:rPr>
          <w:rFonts w:hint="eastAsia"/>
          <w:color w:val="000000"/>
          <w:highlight w:val="none"/>
        </w:rPr>
      </w:pPr>
      <w:r>
        <w:rPr>
          <w:rFonts w:hint="eastAsia"/>
          <w:color w:val="000000"/>
          <w:highlight w:val="none"/>
        </w:rPr>
        <w:t>如果我公司中标（成交），</w:t>
      </w:r>
      <w:r>
        <w:rPr>
          <w:rFonts w:hint="eastAsia"/>
          <w:highlight w:val="none"/>
        </w:rPr>
        <w:t>将在评审（评标）环节结束后5个工作日内，按</w:t>
      </w:r>
      <w:r>
        <w:rPr>
          <w:rFonts w:hint="eastAsia"/>
          <w:highlight w:val="none"/>
          <w:lang w:eastAsia="zh-CN"/>
        </w:rPr>
        <w:t>竞争性磋商文件</w:t>
      </w:r>
      <w:r>
        <w:rPr>
          <w:rFonts w:hint="eastAsia"/>
          <w:highlight w:val="none"/>
        </w:rPr>
        <w:t>要求</w:t>
      </w:r>
      <w:r>
        <w:rPr>
          <w:rFonts w:hint="eastAsia"/>
          <w:color w:val="000000"/>
          <w:highlight w:val="none"/>
        </w:rPr>
        <w:t>，向采购人提供下列材料原件进行核验：</w:t>
      </w:r>
    </w:p>
    <w:p w14:paraId="50D4D3A4">
      <w:pPr>
        <w:ind w:firstLine="480" w:firstLineChars="200"/>
        <w:rPr>
          <w:rFonts w:hint="eastAsia"/>
          <w:color w:val="000000"/>
          <w:highlight w:val="none"/>
        </w:rPr>
      </w:pPr>
      <w:r>
        <w:rPr>
          <w:rFonts w:hint="eastAsia"/>
          <w:color w:val="000000"/>
          <w:highlight w:val="none"/>
        </w:rPr>
        <w:t>（1）营业执照或事业单位法人登记证书；</w:t>
      </w:r>
    </w:p>
    <w:p w14:paraId="55AF0FF0">
      <w:pPr>
        <w:ind w:firstLine="480" w:firstLineChars="200"/>
        <w:rPr>
          <w:rFonts w:hint="eastAsia"/>
          <w:color w:val="000000"/>
          <w:highlight w:val="none"/>
        </w:rPr>
      </w:pPr>
      <w:r>
        <w:rPr>
          <w:rFonts w:hint="eastAsia"/>
          <w:color w:val="000000"/>
          <w:highlight w:val="none"/>
        </w:rPr>
        <w:t>（2）税务登记证（接受合一的证书）或者上一年度以来任意一个月缴纳的增值税或营业税或企业所得税的凭据；</w:t>
      </w:r>
    </w:p>
    <w:p w14:paraId="1A8314A2">
      <w:pPr>
        <w:ind w:firstLine="480" w:firstLineChars="200"/>
        <w:rPr>
          <w:rFonts w:hint="eastAsia"/>
          <w:color w:val="000000"/>
          <w:highlight w:val="none"/>
        </w:rPr>
      </w:pPr>
      <w:r>
        <w:rPr>
          <w:rFonts w:hint="eastAsia"/>
          <w:color w:val="000000"/>
          <w:highlight w:val="none"/>
        </w:rPr>
        <w:t>（3）参加本次政府采购活动上一年度至今的年度或任意一个月度财务报表（至少包含资产负债表和损益表或预算收入支出表）或供应商结算户银行出具的资信证明；</w:t>
      </w:r>
    </w:p>
    <w:p w14:paraId="24E8FC29">
      <w:pPr>
        <w:ind w:firstLine="480" w:firstLineChars="200"/>
        <w:rPr>
          <w:rFonts w:hint="eastAsia"/>
          <w:color w:val="000000"/>
          <w:highlight w:val="none"/>
        </w:rPr>
      </w:pPr>
      <w:r>
        <w:rPr>
          <w:rFonts w:hint="eastAsia"/>
          <w:color w:val="000000"/>
          <w:highlight w:val="none"/>
        </w:rPr>
        <w:t>（4）参加本次政府采购活动上一年度以来任意一个月缴纳社会保险的凭据（专用收据或社会保险缴纳清单）；</w:t>
      </w:r>
    </w:p>
    <w:p w14:paraId="74AFE0BB">
      <w:pPr>
        <w:ind w:firstLine="480" w:firstLineChars="200"/>
        <w:rPr>
          <w:rFonts w:hint="eastAsia"/>
          <w:highlight w:val="none"/>
        </w:rPr>
      </w:pPr>
      <w:r>
        <w:rPr>
          <w:rFonts w:hint="eastAsia"/>
          <w:color w:val="000000"/>
          <w:highlight w:val="none"/>
        </w:rPr>
        <w:t>（5）其他材料。</w:t>
      </w:r>
    </w:p>
    <w:p w14:paraId="1A0C769F">
      <w:pPr>
        <w:ind w:firstLine="480" w:firstLineChars="200"/>
        <w:rPr>
          <w:rFonts w:hint="eastAsia"/>
          <w:highlight w:val="none"/>
        </w:rPr>
      </w:pPr>
      <w:r>
        <w:rPr>
          <w:rFonts w:hint="eastAsia"/>
          <w:color w:val="000000"/>
          <w:highlight w:val="none"/>
        </w:rPr>
        <w:t>本公司对上述承诺的真实性、合法性、有效性负责，如有虚假，将依法承担相应责任。</w:t>
      </w:r>
    </w:p>
    <w:p w14:paraId="25E1273F">
      <w:pPr>
        <w:pStyle w:val="3"/>
        <w:jc w:val="both"/>
        <w:rPr>
          <w:rFonts w:hint="eastAsia"/>
          <w:sz w:val="24"/>
          <w:szCs w:val="24"/>
          <w:highlight w:val="none"/>
        </w:rPr>
      </w:pPr>
    </w:p>
    <w:p w14:paraId="3E075005">
      <w:pPr>
        <w:ind w:firstLine="480" w:firstLineChars="200"/>
        <w:rPr>
          <w:rFonts w:hint="eastAsia"/>
          <w:color w:val="000000"/>
          <w:highlight w:val="none"/>
        </w:rPr>
      </w:pPr>
      <w:r>
        <w:rPr>
          <w:rFonts w:hint="eastAsia"/>
          <w:color w:val="000000"/>
          <w:highlight w:val="none"/>
        </w:rPr>
        <w:t>法定代表人</w:t>
      </w:r>
      <w:r>
        <w:rPr>
          <w:rFonts w:hint="eastAsia"/>
          <w:color w:val="000000"/>
          <w:highlight w:val="none"/>
          <w:lang w:val="en-US" w:eastAsia="zh-CN"/>
        </w:rPr>
        <w:t>/负责人</w:t>
      </w:r>
      <w:r>
        <w:rPr>
          <w:rFonts w:hint="eastAsia"/>
          <w:color w:val="000000"/>
          <w:highlight w:val="none"/>
        </w:rPr>
        <w:t>（</w:t>
      </w:r>
      <w:r>
        <w:rPr>
          <w:rFonts w:hint="eastAsia"/>
          <w:szCs w:val="20"/>
          <w:highlight w:val="none"/>
        </w:rPr>
        <w:t>签字或盖章</w:t>
      </w:r>
      <w:r>
        <w:rPr>
          <w:rFonts w:hint="eastAsia"/>
          <w:color w:val="000000"/>
          <w:highlight w:val="none"/>
        </w:rPr>
        <w:t>）：</w:t>
      </w:r>
    </w:p>
    <w:p w14:paraId="59B1828A">
      <w:pPr>
        <w:ind w:firstLine="480" w:firstLineChars="200"/>
        <w:rPr>
          <w:rFonts w:hint="eastAsia"/>
          <w:color w:val="000000"/>
          <w:highlight w:val="none"/>
        </w:rPr>
      </w:pPr>
      <w:r>
        <w:rPr>
          <w:rFonts w:hint="eastAsia"/>
          <w:color w:val="000000"/>
          <w:highlight w:val="none"/>
        </w:rPr>
        <w:t>社会信用代码：</w:t>
      </w:r>
    </w:p>
    <w:p w14:paraId="6002AAE3">
      <w:pPr>
        <w:ind w:firstLine="480" w:firstLineChars="200"/>
        <w:rPr>
          <w:rFonts w:hint="eastAsia"/>
          <w:color w:val="000000"/>
          <w:highlight w:val="none"/>
        </w:rPr>
      </w:pPr>
      <w:r>
        <w:rPr>
          <w:rFonts w:hint="eastAsia"/>
          <w:color w:val="000000"/>
          <w:highlight w:val="none"/>
        </w:rPr>
        <w:t>供应商名称（</w:t>
      </w:r>
      <w:r>
        <w:rPr>
          <w:rFonts w:hint="eastAsia"/>
          <w:szCs w:val="20"/>
          <w:highlight w:val="none"/>
        </w:rPr>
        <w:t>签字或盖章</w:t>
      </w:r>
      <w:r>
        <w:rPr>
          <w:rFonts w:hint="eastAsia"/>
          <w:color w:val="000000"/>
          <w:highlight w:val="none"/>
        </w:rPr>
        <w:t>）：</w:t>
      </w:r>
    </w:p>
    <w:p w14:paraId="75C73F04">
      <w:pPr>
        <w:rPr>
          <w:rFonts w:hint="eastAsia"/>
          <w:b/>
          <w:bCs/>
          <w:sz w:val="32"/>
          <w:szCs w:val="32"/>
          <w:highlight w:val="none"/>
        </w:rPr>
      </w:pPr>
      <w:r>
        <w:rPr>
          <w:rFonts w:hint="eastAsia"/>
          <w:color w:val="000000"/>
          <w:highlight w:val="none"/>
        </w:rPr>
        <w:t xml:space="preserve">                                                        年    月    日</w:t>
      </w:r>
      <w:r>
        <w:rPr>
          <w:rFonts w:hint="eastAsia"/>
          <w:b/>
          <w:bCs/>
          <w:sz w:val="32"/>
          <w:szCs w:val="32"/>
          <w:highlight w:val="none"/>
        </w:rPr>
        <w:br w:type="page"/>
      </w:r>
    </w:p>
    <w:p w14:paraId="7F42EA79">
      <w:pPr>
        <w:jc w:val="center"/>
        <w:rPr>
          <w:rFonts w:hint="eastAsia"/>
          <w:b/>
          <w:bCs/>
          <w:sz w:val="32"/>
          <w:szCs w:val="32"/>
          <w:highlight w:val="none"/>
        </w:rPr>
      </w:pPr>
      <w:r>
        <w:rPr>
          <w:rFonts w:hint="eastAsia"/>
          <w:b/>
          <w:bCs/>
          <w:sz w:val="32"/>
          <w:szCs w:val="32"/>
          <w:highlight w:val="none"/>
          <w:lang w:val="en-US" w:eastAsia="zh-CN"/>
        </w:rPr>
        <w:t>2</w:t>
      </w:r>
      <w:r>
        <w:rPr>
          <w:rFonts w:hint="eastAsia"/>
          <w:b/>
          <w:bCs/>
          <w:sz w:val="32"/>
          <w:szCs w:val="32"/>
          <w:highlight w:val="none"/>
        </w:rPr>
        <w:t>.法定代表人/负责人身份证明书</w:t>
      </w:r>
    </w:p>
    <w:p w14:paraId="088E0071">
      <w:pPr>
        <w:spacing w:line="600" w:lineRule="auto"/>
        <w:rPr>
          <w:rFonts w:hint="eastAsia"/>
          <w:highlight w:val="none"/>
        </w:rPr>
      </w:pPr>
      <w:r>
        <w:rPr>
          <w:rFonts w:hint="eastAsia"/>
          <w:highlight w:val="none"/>
          <w:u w:val="single"/>
        </w:rPr>
        <w:t>致</w:t>
      </w:r>
      <w:r>
        <w:rPr>
          <w:rFonts w:hint="eastAsia"/>
          <w:szCs w:val="20"/>
          <w:highlight w:val="none"/>
          <w:u w:val="single"/>
        </w:rPr>
        <w:t>采购人或采购代理机构</w:t>
      </w:r>
      <w:r>
        <w:rPr>
          <w:rFonts w:hint="eastAsia"/>
          <w:highlight w:val="none"/>
          <w:u w:val="single"/>
        </w:rPr>
        <w:t>：</w:t>
      </w:r>
    </w:p>
    <w:p w14:paraId="511A4806">
      <w:pPr>
        <w:spacing w:line="600" w:lineRule="auto"/>
        <w:ind w:firstLine="480" w:firstLineChars="200"/>
        <w:rPr>
          <w:rFonts w:hint="eastAsia"/>
          <w:highlight w:val="none"/>
        </w:rPr>
      </w:pPr>
      <w:r>
        <w:rPr>
          <w:rFonts w:hint="eastAsia"/>
          <w:highlight w:val="none"/>
          <w:u w:val="single"/>
        </w:rPr>
        <w:t>（姓名、性别、年龄、身份证号码）</w:t>
      </w:r>
      <w:r>
        <w:rPr>
          <w:rFonts w:hint="eastAsia"/>
          <w:highlight w:val="none"/>
        </w:rPr>
        <w:t>在我单位任</w:t>
      </w:r>
      <w:r>
        <w:rPr>
          <w:rFonts w:hint="eastAsia"/>
          <w:highlight w:val="none"/>
          <w:u w:val="single"/>
        </w:rPr>
        <w:t>（董事长、总经理等）</w:t>
      </w:r>
      <w:r>
        <w:rPr>
          <w:rFonts w:hint="eastAsia"/>
          <w:highlight w:val="none"/>
        </w:rPr>
        <w:t>职务，是我单位的法定代表人/负责人。</w:t>
      </w:r>
    </w:p>
    <w:p w14:paraId="3D95857D">
      <w:pPr>
        <w:spacing w:line="600" w:lineRule="auto"/>
        <w:ind w:firstLine="480" w:firstLineChars="200"/>
        <w:rPr>
          <w:rFonts w:hint="eastAsia"/>
          <w:highlight w:val="none"/>
        </w:rPr>
      </w:pPr>
      <w:r>
        <w:rPr>
          <w:rFonts w:hint="eastAsia"/>
          <w:highlight w:val="none"/>
        </w:rPr>
        <w:t>特此证明。</w:t>
      </w:r>
    </w:p>
    <w:p w14:paraId="4044EB53">
      <w:pPr>
        <w:rPr>
          <w:rFonts w:hint="eastAsia"/>
          <w:highlight w:val="none"/>
        </w:rPr>
      </w:pPr>
    </w:p>
    <w:p w14:paraId="35538669">
      <w:pPr>
        <w:pStyle w:val="2"/>
        <w:rPr>
          <w:rFonts w:hint="eastAsia"/>
          <w:highlight w:val="none"/>
        </w:rPr>
      </w:pPr>
    </w:p>
    <w:p w14:paraId="35FBB4D0">
      <w:pPr>
        <w:rPr>
          <w:rFonts w:hint="eastAsia"/>
          <w:highlight w:val="none"/>
        </w:rPr>
      </w:pPr>
    </w:p>
    <w:p w14:paraId="3C603C46">
      <w:pPr>
        <w:jc w:val="center"/>
        <w:rPr>
          <w:rFonts w:hint="eastAsia"/>
          <w:highlight w:val="none"/>
        </w:rPr>
      </w:pPr>
      <w:r>
        <w:rPr>
          <w:rFonts w:hint="eastAsia"/>
          <w:highlight w:val="none"/>
        </w:rPr>
        <w:t>（附法定代表人/负责人身份证扫描件正反面，禁止胶水粘贴）</w:t>
      </w:r>
    </w:p>
    <w:p w14:paraId="77E44A71">
      <w:pPr>
        <w:rPr>
          <w:rFonts w:hint="eastAsia"/>
          <w:highlight w:val="none"/>
        </w:rPr>
      </w:pPr>
    </w:p>
    <w:p w14:paraId="30C7A325">
      <w:pPr>
        <w:rPr>
          <w:rFonts w:hint="eastAsia"/>
          <w:highlight w:val="none"/>
        </w:rPr>
      </w:pPr>
    </w:p>
    <w:p w14:paraId="0E9D7AD4">
      <w:pPr>
        <w:rPr>
          <w:rFonts w:hint="eastAsia"/>
          <w:highlight w:val="none"/>
        </w:rPr>
      </w:pPr>
    </w:p>
    <w:p w14:paraId="546B9649">
      <w:pPr>
        <w:rPr>
          <w:rFonts w:hint="eastAsia"/>
          <w:highlight w:val="none"/>
        </w:rPr>
      </w:pPr>
    </w:p>
    <w:p w14:paraId="08335EA6">
      <w:pPr>
        <w:spacing w:line="480" w:lineRule="auto"/>
        <w:rPr>
          <w:rFonts w:hint="eastAsia"/>
          <w:szCs w:val="20"/>
          <w:highlight w:val="none"/>
        </w:rPr>
      </w:pPr>
      <w:r>
        <w:rPr>
          <w:rFonts w:hint="eastAsia"/>
          <w:szCs w:val="20"/>
          <w:highlight w:val="none"/>
        </w:rPr>
        <w:t>供应商名称：</w:t>
      </w:r>
      <w:r>
        <w:rPr>
          <w:rFonts w:hint="eastAsia"/>
          <w:szCs w:val="20"/>
          <w:highlight w:val="none"/>
          <w:u w:val="single"/>
        </w:rPr>
        <w:t xml:space="preserve">                                           </w:t>
      </w:r>
      <w:r>
        <w:rPr>
          <w:rFonts w:hint="eastAsia"/>
          <w:szCs w:val="20"/>
          <w:highlight w:val="none"/>
        </w:rPr>
        <w:t>（单位公章）</w:t>
      </w:r>
    </w:p>
    <w:p w14:paraId="52B1902D">
      <w:pPr>
        <w:pStyle w:val="29"/>
        <w:spacing w:line="480" w:lineRule="auto"/>
        <w:ind w:left="0" w:leftChars="0" w:firstLine="0" w:firstLineChars="0"/>
        <w:rPr>
          <w:rFonts w:hint="default" w:eastAsia="楷体_GB2312"/>
          <w:highlight w:val="none"/>
          <w:lang w:val="en-US" w:eastAsia="zh-CN"/>
        </w:rPr>
      </w:pPr>
      <w:r>
        <w:rPr>
          <w:rFonts w:hint="eastAsia" w:ascii="宋体" w:hAnsi="宋体" w:eastAsia="宋体" w:cs="宋体"/>
          <w:kern w:val="2"/>
          <w:sz w:val="24"/>
          <w:szCs w:val="20"/>
          <w:highlight w:val="none"/>
          <w:lang w:val="en-US" w:eastAsia="zh-CN" w:bidi="ar-SA"/>
        </w:rPr>
        <w:t>联 系 电话：</w:t>
      </w:r>
      <w:r>
        <w:rPr>
          <w:rFonts w:hint="eastAsia"/>
          <w:highlight w:val="none"/>
          <w:u w:val="single"/>
        </w:rPr>
        <w:t xml:space="preserve">                               </w:t>
      </w:r>
      <w:r>
        <w:rPr>
          <w:rFonts w:hint="eastAsia"/>
          <w:highlight w:val="none"/>
          <w:u w:val="single"/>
          <w:lang w:val="en-US" w:eastAsia="zh-CN"/>
        </w:rPr>
        <w:t xml:space="preserve"> </w:t>
      </w:r>
    </w:p>
    <w:p w14:paraId="42C9BF31">
      <w:pPr>
        <w:spacing w:line="480" w:lineRule="auto"/>
        <w:rPr>
          <w:rFonts w:hint="eastAsia"/>
          <w:b/>
          <w:bCs/>
          <w:sz w:val="32"/>
          <w:szCs w:val="32"/>
          <w:highlight w:val="none"/>
        </w:rPr>
      </w:pPr>
      <w:r>
        <w:rPr>
          <w:rFonts w:hint="eastAsia"/>
          <w:szCs w:val="20"/>
          <w:highlight w:val="none"/>
        </w:rPr>
        <w:t xml:space="preserve">日  </w:t>
      </w:r>
      <w:r>
        <w:rPr>
          <w:rFonts w:hint="eastAsia"/>
          <w:szCs w:val="20"/>
          <w:highlight w:val="none"/>
          <w:lang w:val="en-US" w:eastAsia="zh-CN"/>
        </w:rPr>
        <w:t xml:space="preserve">    </w:t>
      </w:r>
      <w:r>
        <w:rPr>
          <w:rFonts w:hint="eastAsia"/>
          <w:szCs w:val="20"/>
          <w:highlight w:val="none"/>
        </w:rPr>
        <w:t>期：     年    月    日</w:t>
      </w:r>
    </w:p>
    <w:p w14:paraId="25AC5537">
      <w:pPr>
        <w:rPr>
          <w:rFonts w:hint="eastAsia"/>
          <w:b/>
          <w:bCs/>
          <w:sz w:val="32"/>
          <w:szCs w:val="32"/>
          <w:highlight w:val="none"/>
        </w:rPr>
      </w:pPr>
      <w:r>
        <w:rPr>
          <w:rFonts w:hint="eastAsia"/>
          <w:b/>
          <w:bCs/>
          <w:sz w:val="32"/>
          <w:szCs w:val="32"/>
          <w:highlight w:val="none"/>
        </w:rPr>
        <w:br w:type="page"/>
      </w:r>
    </w:p>
    <w:p w14:paraId="798DD14D">
      <w:pPr>
        <w:jc w:val="center"/>
        <w:rPr>
          <w:rFonts w:hint="eastAsia"/>
          <w:b/>
          <w:bCs/>
          <w:sz w:val="32"/>
          <w:szCs w:val="32"/>
          <w:highlight w:val="none"/>
        </w:rPr>
      </w:pPr>
      <w:r>
        <w:rPr>
          <w:rFonts w:hint="eastAsia"/>
          <w:b/>
          <w:bCs/>
          <w:sz w:val="32"/>
          <w:szCs w:val="32"/>
          <w:highlight w:val="none"/>
          <w:lang w:val="en-US" w:eastAsia="zh-CN"/>
        </w:rPr>
        <w:t>3</w:t>
      </w:r>
      <w:r>
        <w:rPr>
          <w:rFonts w:hint="eastAsia"/>
          <w:b/>
          <w:bCs/>
          <w:sz w:val="32"/>
          <w:szCs w:val="32"/>
          <w:highlight w:val="none"/>
        </w:rPr>
        <w:t>.法定代表人/负责人授权委托书</w:t>
      </w:r>
    </w:p>
    <w:p w14:paraId="3AF6BAB0">
      <w:pPr>
        <w:spacing w:line="600" w:lineRule="auto"/>
        <w:ind w:firstLine="480" w:firstLineChars="200"/>
        <w:jc w:val="both"/>
        <w:rPr>
          <w:rFonts w:hint="eastAsia"/>
          <w:szCs w:val="20"/>
          <w:highlight w:val="none"/>
        </w:rPr>
      </w:pPr>
    </w:p>
    <w:p w14:paraId="1D07A30D">
      <w:pPr>
        <w:spacing w:line="600" w:lineRule="auto"/>
        <w:ind w:firstLine="480" w:firstLineChars="200"/>
        <w:jc w:val="both"/>
        <w:rPr>
          <w:rFonts w:hint="eastAsia"/>
          <w:szCs w:val="20"/>
          <w:highlight w:val="none"/>
        </w:rPr>
      </w:pPr>
      <w:r>
        <w:rPr>
          <w:rFonts w:hint="eastAsia"/>
          <w:szCs w:val="20"/>
          <w:highlight w:val="none"/>
        </w:rPr>
        <w:t>本授权委托书声明：注册于</w:t>
      </w:r>
      <w:r>
        <w:rPr>
          <w:rFonts w:hint="eastAsia"/>
          <w:szCs w:val="20"/>
          <w:highlight w:val="none"/>
          <w:u w:val="single"/>
        </w:rPr>
        <w:t>（国家或地区的名称）</w:t>
      </w:r>
      <w:r>
        <w:rPr>
          <w:rFonts w:hint="eastAsia"/>
          <w:szCs w:val="20"/>
          <w:highlight w:val="none"/>
        </w:rPr>
        <w:t>的（</w:t>
      </w:r>
      <w:r>
        <w:rPr>
          <w:rFonts w:hint="eastAsia"/>
          <w:szCs w:val="20"/>
          <w:highlight w:val="none"/>
          <w:u w:val="single"/>
        </w:rPr>
        <w:t>供应商名称</w:t>
      </w:r>
      <w:r>
        <w:rPr>
          <w:rFonts w:hint="eastAsia"/>
          <w:szCs w:val="20"/>
          <w:highlight w:val="none"/>
        </w:rPr>
        <w:t>）在下面签字的（</w:t>
      </w:r>
      <w:r>
        <w:rPr>
          <w:rFonts w:hint="eastAsia"/>
          <w:szCs w:val="20"/>
          <w:highlight w:val="none"/>
          <w:u w:val="single"/>
        </w:rPr>
        <w:t>法定代表人/负责人姓名、职务</w:t>
      </w:r>
      <w:r>
        <w:rPr>
          <w:rFonts w:hint="eastAsia"/>
          <w:szCs w:val="20"/>
          <w:highlight w:val="none"/>
        </w:rPr>
        <w:t>）代表我单位（</w:t>
      </w:r>
      <w:r>
        <w:rPr>
          <w:rFonts w:hint="eastAsia"/>
          <w:szCs w:val="20"/>
          <w:highlight w:val="none"/>
          <w:u w:val="single"/>
        </w:rPr>
        <w:t>供应商名称</w:t>
      </w:r>
      <w:r>
        <w:rPr>
          <w:rFonts w:hint="eastAsia"/>
          <w:szCs w:val="20"/>
          <w:highlight w:val="none"/>
        </w:rPr>
        <w:t>）授权在下面签字的（</w:t>
      </w:r>
      <w:r>
        <w:rPr>
          <w:rFonts w:hint="eastAsia"/>
          <w:iCs/>
          <w:szCs w:val="20"/>
          <w:highlight w:val="none"/>
          <w:u w:val="single"/>
        </w:rPr>
        <w:t>被授权人的姓名、职务</w:t>
      </w:r>
      <w:r>
        <w:rPr>
          <w:rFonts w:hint="eastAsia"/>
          <w:szCs w:val="20"/>
          <w:highlight w:val="none"/>
        </w:rPr>
        <w:t>）为我单位的合法代理人，就</w:t>
      </w:r>
      <w:r>
        <w:rPr>
          <w:rFonts w:hint="eastAsia"/>
          <w:szCs w:val="20"/>
          <w:highlight w:val="none"/>
          <w:u w:val="single"/>
        </w:rPr>
        <w:t>（</w:t>
      </w:r>
      <w:r>
        <w:rPr>
          <w:rFonts w:hint="eastAsia"/>
          <w:iCs/>
          <w:szCs w:val="20"/>
          <w:highlight w:val="none"/>
          <w:u w:val="single"/>
        </w:rPr>
        <w:t>项目名称</w:t>
      </w:r>
      <w:r>
        <w:rPr>
          <w:rFonts w:hint="eastAsia"/>
          <w:szCs w:val="20"/>
          <w:highlight w:val="none"/>
          <w:u w:val="single"/>
        </w:rPr>
        <w:t>）</w:t>
      </w:r>
      <w:r>
        <w:rPr>
          <w:rFonts w:hint="eastAsia"/>
          <w:highlight w:val="none"/>
          <w:u w:val="single"/>
          <w:lang w:eastAsia="zh-CN"/>
        </w:rPr>
        <w:t>（</w:t>
      </w:r>
      <w:r>
        <w:rPr>
          <w:rFonts w:hint="eastAsia"/>
          <w:highlight w:val="none"/>
          <w:u w:val="single"/>
          <w:lang w:val="en-US" w:eastAsia="zh-CN"/>
        </w:rPr>
        <w:t>包号</w:t>
      </w:r>
      <w:r>
        <w:rPr>
          <w:rFonts w:hint="eastAsia"/>
          <w:highlight w:val="none"/>
          <w:u w:val="single"/>
          <w:lang w:eastAsia="zh-CN"/>
        </w:rPr>
        <w:t>）</w:t>
      </w:r>
      <w:r>
        <w:rPr>
          <w:rFonts w:hint="eastAsia"/>
          <w:szCs w:val="20"/>
          <w:highlight w:val="none"/>
        </w:rPr>
        <w:t>的报价，以我单位名义处理一切与之有关的事务。</w:t>
      </w:r>
      <w:r>
        <w:rPr>
          <w:rFonts w:hint="eastAsia"/>
          <w:szCs w:val="20"/>
          <w:highlight w:val="none"/>
        </w:rPr>
        <w:cr/>
      </w:r>
      <w:r>
        <w:rPr>
          <w:rFonts w:hint="eastAsia"/>
          <w:szCs w:val="20"/>
          <w:highlight w:val="none"/>
        </w:rPr>
        <w:t>　　本授权委托书于</w:t>
      </w:r>
      <w:r>
        <w:rPr>
          <w:rFonts w:hint="eastAsia"/>
          <w:szCs w:val="20"/>
          <w:highlight w:val="none"/>
          <w:u w:val="single"/>
        </w:rPr>
        <w:t xml:space="preserve">   </w:t>
      </w:r>
      <w:r>
        <w:rPr>
          <w:rFonts w:hint="eastAsia"/>
          <w:szCs w:val="20"/>
          <w:highlight w:val="none"/>
          <w:u w:val="single"/>
          <w:lang w:val="en-US" w:eastAsia="zh-CN"/>
        </w:rPr>
        <w:t xml:space="preserve">  </w:t>
      </w:r>
      <w:r>
        <w:rPr>
          <w:rFonts w:hint="eastAsia"/>
          <w:szCs w:val="20"/>
          <w:highlight w:val="none"/>
          <w:u w:val="single"/>
        </w:rPr>
        <w:t xml:space="preserve"> 年    月    日</w:t>
      </w:r>
      <w:r>
        <w:rPr>
          <w:rFonts w:hint="eastAsia"/>
          <w:szCs w:val="20"/>
          <w:highlight w:val="none"/>
        </w:rPr>
        <w:t>签字生效，特此声明。</w:t>
      </w:r>
    </w:p>
    <w:p w14:paraId="092DDFB3">
      <w:pPr>
        <w:rPr>
          <w:rFonts w:hint="eastAsia"/>
          <w:highlight w:val="none"/>
        </w:rPr>
      </w:pPr>
    </w:p>
    <w:p w14:paraId="2B4E47B6">
      <w:pPr>
        <w:rPr>
          <w:rFonts w:hint="eastAsia"/>
          <w:highlight w:val="none"/>
        </w:rPr>
      </w:pPr>
    </w:p>
    <w:p w14:paraId="5103FCFE">
      <w:pPr>
        <w:rPr>
          <w:rFonts w:hint="eastAsia"/>
          <w:highlight w:val="none"/>
        </w:rPr>
      </w:pPr>
    </w:p>
    <w:p w14:paraId="43C7C143">
      <w:pPr>
        <w:rPr>
          <w:rFonts w:hint="eastAsia"/>
          <w:highlight w:val="none"/>
        </w:rPr>
      </w:pPr>
    </w:p>
    <w:p w14:paraId="00CF3306">
      <w:pPr>
        <w:rPr>
          <w:rFonts w:hint="eastAsia"/>
          <w:highlight w:val="none"/>
        </w:rPr>
      </w:pPr>
    </w:p>
    <w:p w14:paraId="749D7A75">
      <w:pPr>
        <w:tabs>
          <w:tab w:val="left" w:pos="5580"/>
        </w:tabs>
        <w:spacing w:line="600" w:lineRule="exact"/>
        <w:ind w:firstLine="480"/>
        <w:rPr>
          <w:rFonts w:hint="eastAsia"/>
          <w:szCs w:val="20"/>
          <w:highlight w:val="none"/>
        </w:rPr>
      </w:pPr>
      <w:r>
        <w:rPr>
          <w:rFonts w:hint="eastAsia"/>
          <w:highlight w:val="none"/>
        </w:rPr>
        <w:t>（附法定代表人/负责人、授权代表人身份证扫描件正反面，禁止胶水粘贴）</w:t>
      </w:r>
    </w:p>
    <w:p w14:paraId="6A0D0892">
      <w:pPr>
        <w:snapToGrid w:val="0"/>
        <w:spacing w:line="480" w:lineRule="auto"/>
        <w:textAlignment w:val="baseline"/>
        <w:rPr>
          <w:rFonts w:hint="eastAsia"/>
          <w:highlight w:val="none"/>
        </w:rPr>
      </w:pPr>
    </w:p>
    <w:p w14:paraId="536E811C">
      <w:pPr>
        <w:snapToGrid w:val="0"/>
        <w:spacing w:line="480" w:lineRule="auto"/>
        <w:textAlignment w:val="baseline"/>
        <w:rPr>
          <w:rFonts w:hint="eastAsia"/>
          <w:highlight w:val="none"/>
        </w:rPr>
      </w:pPr>
    </w:p>
    <w:p w14:paraId="595EF1BA">
      <w:pPr>
        <w:snapToGrid w:val="0"/>
        <w:spacing w:line="480" w:lineRule="auto"/>
        <w:textAlignment w:val="baseline"/>
        <w:rPr>
          <w:rFonts w:hint="eastAsia"/>
          <w:highlight w:val="none"/>
        </w:rPr>
      </w:pPr>
    </w:p>
    <w:p w14:paraId="0FE18424">
      <w:pPr>
        <w:snapToGrid w:val="0"/>
        <w:spacing w:line="480" w:lineRule="auto"/>
        <w:textAlignment w:val="baseline"/>
        <w:rPr>
          <w:rFonts w:hint="eastAsia"/>
          <w:highlight w:val="none"/>
        </w:rPr>
      </w:pPr>
    </w:p>
    <w:p w14:paraId="572FB140">
      <w:pPr>
        <w:snapToGrid w:val="0"/>
        <w:spacing w:line="480" w:lineRule="auto"/>
        <w:textAlignment w:val="baseline"/>
        <w:rPr>
          <w:rFonts w:hint="eastAsia"/>
          <w:sz w:val="20"/>
          <w:highlight w:val="none"/>
        </w:rPr>
      </w:pPr>
      <w:r>
        <w:rPr>
          <w:rFonts w:hint="eastAsia"/>
          <w:highlight w:val="none"/>
        </w:rPr>
        <w:t>供应商名称：</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r>
        <w:rPr>
          <w:rFonts w:hint="eastAsia"/>
          <w:szCs w:val="20"/>
          <w:highlight w:val="none"/>
        </w:rPr>
        <w:t>（单位公章）</w:t>
      </w:r>
    </w:p>
    <w:p w14:paraId="0B6597E1">
      <w:pPr>
        <w:snapToGrid w:val="0"/>
        <w:spacing w:line="480" w:lineRule="auto"/>
        <w:textAlignment w:val="baseline"/>
        <w:rPr>
          <w:rFonts w:hint="eastAsia"/>
          <w:sz w:val="20"/>
          <w:highlight w:val="none"/>
        </w:rPr>
      </w:pPr>
      <w:r>
        <w:rPr>
          <w:rFonts w:hint="eastAsia"/>
          <w:highlight w:val="none"/>
        </w:rPr>
        <w:t>法定代表人/负责人：</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r>
        <w:rPr>
          <w:rFonts w:hint="eastAsia"/>
          <w:highlight w:val="none"/>
        </w:rPr>
        <w:t>（签字或盖章）</w:t>
      </w:r>
    </w:p>
    <w:p w14:paraId="20D752F8">
      <w:pPr>
        <w:snapToGrid w:val="0"/>
        <w:spacing w:line="480" w:lineRule="auto"/>
        <w:textAlignment w:val="baseline"/>
        <w:rPr>
          <w:rFonts w:hint="eastAsia"/>
          <w:highlight w:val="none"/>
        </w:rPr>
      </w:pPr>
      <w:r>
        <w:rPr>
          <w:rFonts w:hint="eastAsia"/>
          <w:highlight w:val="none"/>
        </w:rPr>
        <w:t>授权代表人：</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r>
        <w:rPr>
          <w:rFonts w:hint="eastAsia"/>
          <w:highlight w:val="none"/>
        </w:rPr>
        <w:t>（签字或盖章）</w:t>
      </w:r>
    </w:p>
    <w:p w14:paraId="5C001875">
      <w:pPr>
        <w:snapToGrid w:val="0"/>
        <w:spacing w:line="480" w:lineRule="auto"/>
        <w:textAlignment w:val="baseline"/>
        <w:rPr>
          <w:rFonts w:hint="default" w:ascii="宋体" w:hAnsi="宋体" w:eastAsia="宋体" w:cs="宋体"/>
          <w:highlight w:val="none"/>
          <w:lang w:val="en-US" w:eastAsia="zh-CN"/>
        </w:rPr>
      </w:pPr>
      <w:r>
        <w:rPr>
          <w:rFonts w:hint="eastAsia" w:ascii="宋体" w:hAnsi="宋体" w:eastAsia="宋体" w:cs="宋体"/>
          <w:highlight w:val="none"/>
          <w:lang w:val="en-US" w:eastAsia="zh-CN"/>
        </w:rPr>
        <w:t>联 系 电话：</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p>
    <w:p w14:paraId="53EE82C0">
      <w:pPr>
        <w:snapToGrid w:val="0"/>
        <w:spacing w:line="480" w:lineRule="auto"/>
        <w:textAlignment w:val="baseline"/>
        <w:rPr>
          <w:rFonts w:hint="eastAsia"/>
          <w:sz w:val="20"/>
          <w:highlight w:val="none"/>
        </w:rPr>
      </w:pPr>
      <w:r>
        <w:rPr>
          <w:rFonts w:hint="eastAsia"/>
          <w:highlight w:val="none"/>
        </w:rPr>
        <w:t xml:space="preserve">日  </w:t>
      </w:r>
      <w:r>
        <w:rPr>
          <w:rFonts w:hint="eastAsia"/>
          <w:highlight w:val="none"/>
          <w:lang w:val="en-US" w:eastAsia="zh-CN"/>
        </w:rPr>
        <w:t xml:space="preserve">    </w:t>
      </w:r>
      <w:r>
        <w:rPr>
          <w:rFonts w:hint="eastAsia"/>
          <w:highlight w:val="none"/>
        </w:rPr>
        <w:t>期：     年    月    日</w:t>
      </w:r>
    </w:p>
    <w:p w14:paraId="0D4A5BF6">
      <w:pPr>
        <w:jc w:val="center"/>
        <w:rPr>
          <w:rFonts w:hint="eastAsia" w:ascii="宋体" w:hAnsi="宋体" w:eastAsia="宋体" w:cs="宋体"/>
          <w:b/>
          <w:bCs/>
          <w:sz w:val="32"/>
          <w:szCs w:val="32"/>
          <w:highlight w:val="none"/>
        </w:rPr>
      </w:pPr>
      <w:r>
        <w:rPr>
          <w:rFonts w:hint="eastAsia" w:cs="宋体"/>
          <w:b/>
          <w:bCs/>
          <w:sz w:val="32"/>
          <w:szCs w:val="32"/>
          <w:highlight w:val="none"/>
          <w:lang w:val="en-US" w:eastAsia="zh-CN"/>
        </w:rPr>
        <w:t>4</w:t>
      </w:r>
      <w:r>
        <w:rPr>
          <w:rFonts w:hint="eastAsia" w:ascii="宋体" w:hAnsi="宋体" w:eastAsia="宋体" w:cs="宋体"/>
          <w:b/>
          <w:bCs/>
          <w:sz w:val="32"/>
          <w:szCs w:val="32"/>
          <w:highlight w:val="none"/>
          <w:lang w:val="en-US" w:eastAsia="zh-CN"/>
        </w:rPr>
        <w:t>、参加本次政府采购活动前三年内（成立不足三年的自成立之日起），在经营活动中没有重大违法记录的书面声明</w:t>
      </w:r>
    </w:p>
    <w:p w14:paraId="4E0237D6">
      <w:pPr>
        <w:pStyle w:val="15"/>
        <w:spacing w:line="600" w:lineRule="exact"/>
        <w:ind w:firstLine="480" w:firstLineChars="200"/>
        <w:rPr>
          <w:rFonts w:hint="eastAsia" w:hAnsi="宋体"/>
          <w:sz w:val="24"/>
          <w:szCs w:val="22"/>
          <w:highlight w:val="none"/>
        </w:rPr>
      </w:pPr>
      <w:r>
        <w:rPr>
          <w:rFonts w:hint="eastAsia" w:hAnsi="宋体"/>
          <w:sz w:val="24"/>
          <w:szCs w:val="22"/>
          <w:highlight w:val="none"/>
        </w:rPr>
        <w:t>本单位郑重声明：</w:t>
      </w:r>
    </w:p>
    <w:p w14:paraId="04FE238B">
      <w:pPr>
        <w:pStyle w:val="15"/>
        <w:spacing w:line="600" w:lineRule="exact"/>
        <w:ind w:firstLine="480" w:firstLineChars="200"/>
        <w:rPr>
          <w:rFonts w:hint="eastAsia" w:hAnsi="宋体"/>
          <w:sz w:val="24"/>
          <w:szCs w:val="22"/>
          <w:highlight w:val="none"/>
        </w:rPr>
      </w:pPr>
      <w:r>
        <w:rPr>
          <w:rFonts w:hint="eastAsia" w:ascii="宋体" w:hAnsi="宋体" w:eastAsia="宋体" w:cs="宋体"/>
          <w:sz w:val="24"/>
          <w:szCs w:val="22"/>
          <w:highlight w:val="none"/>
        </w:rPr>
        <w:t>我单位在参加采购活动前三年内</w:t>
      </w:r>
      <w:r>
        <w:rPr>
          <w:rFonts w:hint="eastAsia" w:ascii="宋体" w:hAnsi="宋体" w:eastAsia="宋体" w:cs="宋体"/>
          <w:sz w:val="24"/>
          <w:szCs w:val="22"/>
          <w:highlight w:val="none"/>
          <w:lang w:val="en-US" w:eastAsia="zh-CN"/>
        </w:rPr>
        <w:t>（成立不足三年的自成立之日起），</w:t>
      </w:r>
      <w:r>
        <w:rPr>
          <w:rFonts w:hint="eastAsia" w:ascii="宋体" w:hAnsi="宋体" w:eastAsia="宋体" w:cs="宋体"/>
          <w:sz w:val="24"/>
          <w:szCs w:val="22"/>
          <w:highlight w:val="none"/>
        </w:rPr>
        <w:t>在经营活动中没有《政府采购法》第二十二条第一款第(五)项所称重大违法记录，包括</w:t>
      </w:r>
      <w:r>
        <w:rPr>
          <w:rFonts w:hint="eastAsia" w:hAnsi="宋体"/>
          <w:sz w:val="24"/>
          <w:szCs w:val="22"/>
          <w:highlight w:val="none"/>
        </w:rPr>
        <w:t>：</w:t>
      </w:r>
    </w:p>
    <w:p w14:paraId="04DC72E6">
      <w:pPr>
        <w:pStyle w:val="15"/>
        <w:spacing w:line="600" w:lineRule="exact"/>
        <w:ind w:firstLine="480" w:firstLineChars="200"/>
        <w:rPr>
          <w:rFonts w:hint="eastAsia" w:hAnsi="宋体"/>
          <w:sz w:val="24"/>
          <w:szCs w:val="22"/>
          <w:highlight w:val="none"/>
        </w:rPr>
      </w:pPr>
      <w:r>
        <w:rPr>
          <w:rFonts w:hint="eastAsia" w:hAnsi="宋体"/>
          <w:sz w:val="24"/>
          <w:szCs w:val="22"/>
          <w:highlight w:val="none"/>
        </w:rPr>
        <w:t>我单位或者其</w:t>
      </w:r>
      <w:r>
        <w:rPr>
          <w:rFonts w:hint="eastAsia" w:hAnsi="宋体"/>
          <w:sz w:val="24"/>
          <w:szCs w:val="22"/>
          <w:highlight w:val="none"/>
          <w:lang w:eastAsia="zh-CN"/>
        </w:rPr>
        <w:t>法定代表人/负责人</w:t>
      </w:r>
      <w:r>
        <w:rPr>
          <w:rFonts w:hint="eastAsia" w:hAnsi="宋体"/>
          <w:sz w:val="24"/>
          <w:szCs w:val="22"/>
          <w:highlight w:val="none"/>
        </w:rPr>
        <w:t>、董事、监事、高级管理人员未因经营活动中的违法行为受到刑事处罚或者责令停产停业、吊销许可证或者执照、较大数额罚款等行政处罚。</w:t>
      </w:r>
    </w:p>
    <w:p w14:paraId="02D038CB">
      <w:pPr>
        <w:pStyle w:val="15"/>
        <w:spacing w:line="600" w:lineRule="exact"/>
        <w:ind w:firstLine="480" w:firstLineChars="200"/>
        <w:rPr>
          <w:rFonts w:hint="eastAsia" w:ascii="宋体" w:hAnsi="宋体" w:eastAsia="宋体" w:cs="宋体"/>
          <w:highlight w:val="none"/>
        </w:rPr>
      </w:pPr>
      <w:r>
        <w:rPr>
          <w:rFonts w:hint="eastAsia" w:hAnsi="宋体"/>
          <w:sz w:val="24"/>
          <w:szCs w:val="22"/>
          <w:highlight w:val="none"/>
        </w:rPr>
        <w:t>特此声明</w:t>
      </w:r>
      <w:r>
        <w:rPr>
          <w:rFonts w:hint="eastAsia" w:ascii="宋体" w:hAnsi="宋体" w:eastAsia="宋体" w:cs="宋体"/>
          <w:highlight w:val="none"/>
        </w:rPr>
        <w:t>！</w:t>
      </w:r>
    </w:p>
    <w:p w14:paraId="5AE9C5BC">
      <w:pPr>
        <w:rPr>
          <w:rFonts w:hint="eastAsia" w:ascii="宋体" w:hAnsi="宋体" w:eastAsia="宋体" w:cs="宋体"/>
          <w:highlight w:val="none"/>
        </w:rPr>
      </w:pPr>
    </w:p>
    <w:p w14:paraId="1CDA4493">
      <w:pPr>
        <w:pStyle w:val="29"/>
        <w:rPr>
          <w:rFonts w:hint="eastAsia" w:ascii="宋体" w:hAnsi="宋体" w:eastAsia="宋体" w:cs="宋体"/>
          <w:highlight w:val="none"/>
        </w:rPr>
      </w:pPr>
    </w:p>
    <w:p w14:paraId="18A8706C">
      <w:pPr>
        <w:pStyle w:val="28"/>
        <w:rPr>
          <w:rFonts w:hint="eastAsia"/>
          <w:highlight w:val="none"/>
        </w:rPr>
      </w:pPr>
    </w:p>
    <w:p w14:paraId="0295DE1F">
      <w:pPr>
        <w:pStyle w:val="29"/>
        <w:rPr>
          <w:rFonts w:hint="default"/>
          <w:highlight w:val="none"/>
          <w:lang w:val="en-US" w:eastAsia="zh-CN"/>
        </w:rPr>
      </w:pPr>
    </w:p>
    <w:p w14:paraId="1A5BA8E8">
      <w:pPr>
        <w:rPr>
          <w:highlight w:val="none"/>
        </w:rPr>
      </w:pPr>
    </w:p>
    <w:p w14:paraId="1A41E911">
      <w:pPr>
        <w:snapToGrid w:val="0"/>
        <w:spacing w:line="480" w:lineRule="auto"/>
        <w:textAlignment w:val="baseline"/>
        <w:rPr>
          <w:sz w:val="20"/>
          <w:highlight w:val="none"/>
        </w:rPr>
      </w:pPr>
      <w:r>
        <w:rPr>
          <w:rFonts w:hint="eastAsia"/>
          <w:highlight w:val="none"/>
          <w:lang w:eastAsia="zh-CN"/>
        </w:rPr>
        <w:t>投标人</w:t>
      </w:r>
      <w:r>
        <w:rPr>
          <w:highlight w:val="none"/>
        </w:rPr>
        <w:t>：</w:t>
      </w:r>
      <w:r>
        <w:rPr>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r>
        <w:rPr>
          <w:highlight w:val="none"/>
          <w:u w:val="single"/>
        </w:rPr>
        <w:t xml:space="preserve">   </w:t>
      </w:r>
      <w:r>
        <w:rPr>
          <w:highlight w:val="none"/>
        </w:rPr>
        <w:t>（盖章）</w:t>
      </w:r>
    </w:p>
    <w:p w14:paraId="5A40B773">
      <w:pPr>
        <w:snapToGrid w:val="0"/>
        <w:spacing w:line="480" w:lineRule="auto"/>
        <w:textAlignment w:val="baseline"/>
        <w:rPr>
          <w:sz w:val="20"/>
          <w:highlight w:val="none"/>
        </w:rPr>
      </w:pPr>
      <w:r>
        <w:rPr>
          <w:rFonts w:hint="eastAsia"/>
          <w:highlight w:val="none"/>
          <w:lang w:eastAsia="zh-CN"/>
        </w:rPr>
        <w:t>法定代表人/负责人或授权代表人</w:t>
      </w:r>
      <w:r>
        <w:rPr>
          <w:highlight w:val="none"/>
        </w:rPr>
        <w:t>：</w:t>
      </w:r>
      <w:r>
        <w:rPr>
          <w:highlight w:val="none"/>
          <w:u w:val="single"/>
        </w:rPr>
        <w:t xml:space="preserve">     </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r>
        <w:rPr>
          <w:highlight w:val="none"/>
        </w:rPr>
        <w:t>（签字</w:t>
      </w:r>
      <w:r>
        <w:rPr>
          <w:rFonts w:hint="eastAsia"/>
          <w:highlight w:val="none"/>
        </w:rPr>
        <w:t>或盖章</w:t>
      </w:r>
      <w:r>
        <w:rPr>
          <w:highlight w:val="none"/>
        </w:rPr>
        <w:t>）</w:t>
      </w:r>
    </w:p>
    <w:p w14:paraId="417BE0C1">
      <w:pPr>
        <w:rPr>
          <w:rFonts w:hint="eastAsia" w:ascii="宋体" w:hAnsi="宋体" w:eastAsia="宋体" w:cs="宋体"/>
          <w:highlight w:val="none"/>
        </w:rPr>
      </w:pPr>
      <w:r>
        <w:rPr>
          <w:rFonts w:hint="eastAsia" w:ascii="宋体" w:hAnsi="宋体" w:eastAsia="宋体" w:cs="宋体"/>
          <w:highlight w:val="none"/>
        </w:rPr>
        <w:t>日  期：     年    月    日</w:t>
      </w:r>
    </w:p>
    <w:p w14:paraId="23E9CCC4">
      <w:pPr>
        <w:jc w:val="center"/>
        <w:rPr>
          <w:rFonts w:hint="eastAsia"/>
          <w:highlight w:val="none"/>
        </w:rPr>
      </w:pPr>
    </w:p>
    <w:p w14:paraId="177BD9A6">
      <w:pPr>
        <w:rPr>
          <w:rFonts w:hint="eastAsia"/>
          <w:highlight w:val="none"/>
        </w:rPr>
      </w:pPr>
      <w:r>
        <w:rPr>
          <w:rFonts w:hint="eastAsia"/>
          <w:highlight w:val="none"/>
        </w:rPr>
        <w:br w:type="page"/>
      </w:r>
    </w:p>
    <w:p w14:paraId="4BF8D1DF">
      <w:pPr>
        <w:jc w:val="center"/>
        <w:rPr>
          <w:rFonts w:hint="eastAsia"/>
          <w:b/>
          <w:bCs/>
          <w:sz w:val="32"/>
          <w:szCs w:val="32"/>
          <w:highlight w:val="none"/>
        </w:rPr>
      </w:pPr>
      <w:r>
        <w:rPr>
          <w:rFonts w:hint="eastAsia"/>
          <w:b/>
          <w:bCs/>
          <w:sz w:val="32"/>
          <w:szCs w:val="32"/>
          <w:highlight w:val="none"/>
          <w:lang w:val="en-US" w:eastAsia="zh-CN"/>
        </w:rPr>
        <w:t>5</w:t>
      </w:r>
      <w:r>
        <w:rPr>
          <w:rFonts w:hint="eastAsia"/>
          <w:b/>
          <w:bCs/>
          <w:sz w:val="32"/>
          <w:szCs w:val="32"/>
          <w:highlight w:val="none"/>
        </w:rPr>
        <w:t>.用于评审的政府采购政策的证明材料</w:t>
      </w:r>
    </w:p>
    <w:p w14:paraId="23982F88">
      <w:pPr>
        <w:jc w:val="center"/>
        <w:rPr>
          <w:rFonts w:hint="eastAsia"/>
          <w:b/>
          <w:bCs/>
          <w:sz w:val="32"/>
          <w:szCs w:val="32"/>
          <w:highlight w:val="none"/>
        </w:rPr>
      </w:pPr>
      <w:r>
        <w:rPr>
          <w:rFonts w:hint="eastAsia"/>
          <w:b/>
          <w:bCs/>
          <w:highlight w:val="none"/>
          <w:lang w:val="en-US" w:eastAsia="zh-CN"/>
        </w:rPr>
        <w:t>5</w:t>
      </w:r>
      <w:r>
        <w:rPr>
          <w:rFonts w:hint="eastAsia"/>
          <w:b/>
          <w:bCs/>
          <w:highlight w:val="none"/>
        </w:rPr>
        <w:t>.1中小企业声明函</w:t>
      </w:r>
    </w:p>
    <w:p w14:paraId="20642DE1">
      <w:pPr>
        <w:spacing w:line="480" w:lineRule="auto"/>
        <w:ind w:firstLine="480" w:firstLineChars="200"/>
        <w:rPr>
          <w:rFonts w:hint="eastAsia"/>
          <w:highlight w:val="none"/>
        </w:rPr>
      </w:pPr>
      <w:r>
        <w:rPr>
          <w:rFonts w:hint="eastAsia"/>
          <w:highlight w:val="none"/>
        </w:rPr>
        <w:t>　本公司郑重声明，根据《政府采购促进中小企业发展管理办法》（财库﹝2020﹞46号）的规定，本公司参加</w:t>
      </w:r>
      <w:r>
        <w:rPr>
          <w:rFonts w:hint="eastAsia"/>
          <w:highlight w:val="none"/>
          <w:u w:val="single"/>
        </w:rPr>
        <w:t>（单位名称）</w:t>
      </w:r>
      <w:r>
        <w:rPr>
          <w:rFonts w:hint="eastAsia"/>
          <w:highlight w:val="none"/>
        </w:rPr>
        <w:t>的</w:t>
      </w:r>
      <w:r>
        <w:rPr>
          <w:rFonts w:hint="eastAsia"/>
          <w:highlight w:val="none"/>
          <w:u w:val="single"/>
        </w:rPr>
        <w:t>（项目名称）</w:t>
      </w:r>
      <w:r>
        <w:rPr>
          <w:rFonts w:hint="eastAsia"/>
          <w:highlight w:val="none"/>
        </w:rPr>
        <w:t xml:space="preserve">采购活动，服务全部由符合政策要求的中小企业承接。相关企业的具体情况如下： </w:t>
      </w:r>
    </w:p>
    <w:p w14:paraId="3E40D06E">
      <w:pPr>
        <w:numPr>
          <w:ilvl w:val="0"/>
          <w:numId w:val="0"/>
        </w:numPr>
        <w:spacing w:line="480" w:lineRule="auto"/>
        <w:ind w:firstLine="480" w:firstLineChars="200"/>
        <w:rPr>
          <w:rFonts w:hint="eastAsia"/>
          <w:highlight w:val="none"/>
        </w:rPr>
      </w:pPr>
      <w:r>
        <w:rPr>
          <w:rFonts w:hint="eastAsia" w:ascii="宋体" w:hAnsi="宋体" w:eastAsia="宋体" w:cs="宋体"/>
          <w:highlight w:val="none"/>
          <w:u w:val="single"/>
          <w:lang w:val="en-US" w:eastAsia="zh-CN"/>
        </w:rPr>
        <w:t xml:space="preserve"> </w:t>
      </w:r>
      <w:r>
        <w:rPr>
          <w:rFonts w:hint="eastAsia" w:cs="宋体"/>
          <w:highlight w:val="none"/>
          <w:u w:val="single"/>
          <w:lang w:val="en-US" w:eastAsia="zh-CN"/>
        </w:rPr>
        <w:t xml:space="preserve">           </w:t>
      </w:r>
      <w:r>
        <w:rPr>
          <w:rFonts w:hint="eastAsia" w:ascii="宋体" w:hAnsi="宋体" w:eastAsia="宋体" w:cs="宋体"/>
          <w:highlight w:val="none"/>
          <w:u w:val="single"/>
        </w:rPr>
        <w:t xml:space="preserve"> </w:t>
      </w:r>
      <w:r>
        <w:rPr>
          <w:rFonts w:hint="eastAsia"/>
          <w:highlight w:val="none"/>
        </w:rPr>
        <w:t>，属于</w:t>
      </w:r>
      <w:r>
        <w:rPr>
          <w:rFonts w:hint="eastAsia"/>
          <w:highlight w:val="none"/>
          <w:u w:val="single"/>
          <w:lang w:val="en-US" w:eastAsia="zh-CN"/>
        </w:rPr>
        <w:t xml:space="preserve">               </w:t>
      </w:r>
      <w:r>
        <w:rPr>
          <w:rFonts w:hint="eastAsia"/>
          <w:highlight w:val="none"/>
          <w:u w:val="single"/>
        </w:rPr>
        <w:t xml:space="preserve"> </w:t>
      </w:r>
      <w:r>
        <w:rPr>
          <w:rFonts w:hint="eastAsia"/>
          <w:highlight w:val="none"/>
        </w:rPr>
        <w:t>行业；承建（承接）企业为</w:t>
      </w:r>
      <w:r>
        <w:rPr>
          <w:rFonts w:hint="eastAsia"/>
          <w:highlight w:val="none"/>
          <w:u w:val="single"/>
        </w:rPr>
        <w:t xml:space="preserve"> （企业名称） </w:t>
      </w:r>
      <w:r>
        <w:rPr>
          <w:rFonts w:hint="eastAsia"/>
          <w:highlight w:val="none"/>
        </w:rPr>
        <w:t>，从业人员</w:t>
      </w:r>
      <w:r>
        <w:rPr>
          <w:rFonts w:hint="eastAsia"/>
          <w:highlight w:val="none"/>
          <w:u w:val="single"/>
        </w:rPr>
        <w:t xml:space="preserve">          </w:t>
      </w:r>
      <w:r>
        <w:rPr>
          <w:rFonts w:hint="eastAsia"/>
          <w:highlight w:val="none"/>
        </w:rPr>
        <w:t>人，营业收入为</w:t>
      </w:r>
      <w:r>
        <w:rPr>
          <w:rFonts w:hint="eastAsia"/>
          <w:highlight w:val="none"/>
          <w:u w:val="single"/>
        </w:rPr>
        <w:t xml:space="preserve">          </w:t>
      </w:r>
      <w:r>
        <w:rPr>
          <w:rFonts w:hint="eastAsia"/>
          <w:highlight w:val="none"/>
        </w:rPr>
        <w:t>万元，资产总额为</w:t>
      </w:r>
      <w:r>
        <w:rPr>
          <w:rFonts w:hint="eastAsia"/>
          <w:highlight w:val="none"/>
          <w:u w:val="single"/>
        </w:rPr>
        <w:t xml:space="preserve">          </w:t>
      </w:r>
      <w:r>
        <w:rPr>
          <w:rFonts w:hint="eastAsia"/>
          <w:highlight w:val="none"/>
        </w:rPr>
        <w:t>万元 ，属于（</w:t>
      </w:r>
      <w:r>
        <w:rPr>
          <w:rFonts w:hint="eastAsia"/>
          <w:highlight w:val="none"/>
          <w:u w:val="single"/>
        </w:rPr>
        <w:t>中型企业、小型企业、微型企业</w:t>
      </w:r>
      <w:r>
        <w:rPr>
          <w:rFonts w:hint="eastAsia"/>
          <w:highlight w:val="none"/>
        </w:rPr>
        <w:t>）；</w:t>
      </w:r>
    </w:p>
    <w:p w14:paraId="0DA819BB">
      <w:pPr>
        <w:spacing w:line="480" w:lineRule="auto"/>
        <w:ind w:firstLine="480" w:firstLineChars="200"/>
        <w:rPr>
          <w:rFonts w:hint="eastAsia"/>
          <w:highlight w:val="none"/>
        </w:rPr>
      </w:pPr>
      <w:r>
        <w:rPr>
          <w:rFonts w:hint="eastAsia"/>
          <w:highlight w:val="none"/>
        </w:rPr>
        <w:t>以上企业，不属于大企业的分支机构，不存在控股股东为大企业的情形，也不存在与大企业的负责人为同一人的情形。</w:t>
      </w:r>
    </w:p>
    <w:p w14:paraId="04EFC1C0">
      <w:pPr>
        <w:spacing w:before="120" w:beforeLines="50" w:after="120" w:afterLines="50"/>
        <w:ind w:firstLine="480" w:firstLineChars="200"/>
        <w:rPr>
          <w:rFonts w:hint="eastAsia"/>
          <w:highlight w:val="none"/>
        </w:rPr>
      </w:pPr>
      <w:r>
        <w:rPr>
          <w:rFonts w:hint="eastAsia"/>
          <w:highlight w:val="none"/>
        </w:rPr>
        <w:t>本企业对上述声明内容的真实性负责，如有虚假，将依法承担相应责任。</w:t>
      </w:r>
    </w:p>
    <w:p w14:paraId="7CE899AB">
      <w:pPr>
        <w:spacing w:line="480" w:lineRule="auto"/>
        <w:rPr>
          <w:rFonts w:hint="eastAsia"/>
          <w:highlight w:val="none"/>
        </w:rPr>
      </w:pPr>
      <w:r>
        <w:rPr>
          <w:rFonts w:hint="eastAsia"/>
          <w:highlight w:val="none"/>
        </w:rPr>
        <w:t xml:space="preserve">                                          </w:t>
      </w:r>
    </w:p>
    <w:p w14:paraId="025C3ACC">
      <w:pPr>
        <w:spacing w:line="480" w:lineRule="auto"/>
        <w:ind w:firstLine="5040" w:firstLineChars="2100"/>
        <w:rPr>
          <w:rFonts w:hint="eastAsia"/>
          <w:highlight w:val="none"/>
        </w:rPr>
      </w:pPr>
      <w:r>
        <w:rPr>
          <w:rFonts w:hint="eastAsia"/>
          <w:highlight w:val="none"/>
        </w:rPr>
        <w:t>企业名称（公章）：　　　　　　　　</w:t>
      </w:r>
    </w:p>
    <w:p w14:paraId="27485963">
      <w:pPr>
        <w:spacing w:line="480" w:lineRule="auto"/>
        <w:ind w:left="5040" w:leftChars="2100"/>
        <w:rPr>
          <w:rFonts w:hint="eastAsia"/>
          <w:highlight w:val="none"/>
        </w:rPr>
      </w:pPr>
      <w:r>
        <w:rPr>
          <w:rFonts w:hint="eastAsia"/>
          <w:highlight w:val="none"/>
        </w:rPr>
        <w:t>日　　　　　 期：</w:t>
      </w:r>
    </w:p>
    <w:p w14:paraId="1D99E411">
      <w:pPr>
        <w:spacing w:line="480" w:lineRule="auto"/>
        <w:rPr>
          <w:rFonts w:hint="eastAsia"/>
          <w:highlight w:val="none"/>
        </w:rPr>
      </w:pPr>
      <w:r>
        <w:rPr>
          <w:rFonts w:hint="eastAsia"/>
          <w:highlight w:val="none"/>
        </w:rPr>
        <w:t xml:space="preserve">    </w:t>
      </w:r>
    </w:p>
    <w:p w14:paraId="33CF1407">
      <w:pPr>
        <w:spacing w:line="312" w:lineRule="auto"/>
        <w:rPr>
          <w:rFonts w:hint="eastAsia"/>
          <w:highlight w:val="none"/>
        </w:rPr>
      </w:pPr>
      <w:r>
        <w:rPr>
          <w:rFonts w:hint="eastAsia"/>
          <w:highlight w:val="none"/>
        </w:rPr>
        <w:t>注：从业人员、营业收入、资产总额填报上一年度数据，无上一年度数据的新成立企业可不填报。</w:t>
      </w:r>
    </w:p>
    <w:p w14:paraId="2A401EB2">
      <w:pPr>
        <w:rPr>
          <w:rFonts w:hint="eastAsia"/>
          <w:highlight w:val="none"/>
        </w:rPr>
      </w:pPr>
      <w:r>
        <w:rPr>
          <w:rFonts w:hint="eastAsia"/>
          <w:highlight w:val="none"/>
        </w:rPr>
        <w:br w:type="page"/>
      </w:r>
    </w:p>
    <w:p w14:paraId="78E65772">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highlight w:val="none"/>
        </w:rPr>
      </w:pPr>
      <w:r>
        <w:rPr>
          <w:rFonts w:hint="eastAsia"/>
          <w:highlight w:val="none"/>
        </w:rPr>
        <w:t>农、林、牧、渔业，工业（包括采矿业，制造业，电力、热力、燃气及水生产和供应业），建筑业，批 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37B5A6E0">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b/>
          <w:bCs/>
          <w:highlight w:val="none"/>
        </w:rPr>
      </w:pPr>
      <w:r>
        <w:rPr>
          <w:rFonts w:hint="eastAsia"/>
          <w:b/>
          <w:bCs/>
          <w:highlight w:val="none"/>
        </w:rPr>
        <w:t>各行业划型标准为：</w:t>
      </w:r>
    </w:p>
    <w:p w14:paraId="4ECFBFF5">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highlight w:val="none"/>
        </w:rPr>
      </w:pPr>
      <w:r>
        <w:rPr>
          <w:rFonts w:hint="eastAsia"/>
          <w:highlight w:val="none"/>
        </w:rPr>
        <w:t>　　（一）农、林、牧、渔业。营业收入20000万元以下的为中小微型企业。其中，营业收入500万元及以上的为中型企业，营业收入50万元及以上的为小型企业，营业收入50万元以下的为微型企业。</w:t>
      </w:r>
    </w:p>
    <w:p w14:paraId="1303F904">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highlight w:val="none"/>
        </w:rPr>
      </w:pPr>
      <w:r>
        <w:rPr>
          <w:rFonts w:hint="eastAsia"/>
          <w:highlight w:val="none"/>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1A74CE38">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highlight w:val="none"/>
        </w:rPr>
      </w:pPr>
      <w:r>
        <w:rPr>
          <w:rFonts w:hint="eastAsia"/>
          <w:highlight w:val="none"/>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0E1803ED">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highlight w:val="none"/>
        </w:rPr>
      </w:pPr>
      <w:r>
        <w:rPr>
          <w:rFonts w:hint="eastAsia"/>
          <w:highlight w:val="none"/>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4A5B5CCF">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highlight w:val="none"/>
        </w:rPr>
      </w:pPr>
      <w:r>
        <w:rPr>
          <w:rFonts w:hint="eastAsia"/>
          <w:highlight w:val="none"/>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2E045681">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highlight w:val="none"/>
        </w:rPr>
      </w:pPr>
      <w:r>
        <w:rPr>
          <w:rFonts w:hint="eastAsia"/>
          <w:highlight w:val="none"/>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77775C84">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highlight w:val="none"/>
        </w:rPr>
      </w:pPr>
      <w:r>
        <w:rPr>
          <w:rFonts w:hint="eastAsia"/>
          <w:highlight w:val="none"/>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392522FF">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highlight w:val="none"/>
        </w:rPr>
      </w:pPr>
      <w:r>
        <w:rPr>
          <w:rFonts w:hint="eastAsia"/>
          <w:highlight w:val="none"/>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60BC71F8">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highlight w:val="none"/>
        </w:rPr>
      </w:pPr>
      <w:r>
        <w:rPr>
          <w:rFonts w:hint="eastAsia"/>
          <w:highlight w:val="none"/>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386D0F0F">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highlight w:val="none"/>
        </w:rPr>
      </w:pPr>
      <w:r>
        <w:rPr>
          <w:rFonts w:hint="eastAsia"/>
          <w:highlight w:val="none"/>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4AE795BB">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highlight w:val="none"/>
        </w:rPr>
      </w:pPr>
      <w:r>
        <w:rPr>
          <w:rFonts w:hint="eastAsia"/>
          <w:highlight w:val="none"/>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3167F443">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highlight w:val="none"/>
        </w:rPr>
      </w:pPr>
      <w:r>
        <w:rPr>
          <w:rFonts w:hint="eastAsia"/>
          <w:highlight w:val="none"/>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7C127332">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highlight w:val="none"/>
        </w:rPr>
      </w:pPr>
      <w:r>
        <w:rPr>
          <w:rFonts w:hint="eastAsia"/>
          <w:highlight w:val="none"/>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6ADA4297">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highlight w:val="none"/>
        </w:rPr>
      </w:pPr>
      <w:r>
        <w:rPr>
          <w:rFonts w:hint="eastAsia"/>
          <w:highlight w:val="none"/>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52399DC1">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highlight w:val="none"/>
        </w:rPr>
      </w:pPr>
      <w:r>
        <w:rPr>
          <w:rFonts w:hint="eastAsia"/>
          <w:highlight w:val="none"/>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0765DB8B">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b/>
          <w:bCs/>
          <w:highlight w:val="none"/>
        </w:rPr>
      </w:pPr>
      <w:r>
        <w:rPr>
          <w:rFonts w:hint="eastAsia"/>
          <w:highlight w:val="none"/>
        </w:rPr>
        <w:t>　　（十六）其他未列明行业。从业人员300人以下的为中小微型企业。其中，从业人员100人及以上的为中型企业；从业人员10人及以上的为小型企业；从业人员10人以下的为微型企业。</w:t>
      </w:r>
    </w:p>
    <w:p w14:paraId="69A42295">
      <w:pPr>
        <w:rPr>
          <w:rFonts w:hint="eastAsia"/>
          <w:b/>
          <w:bCs/>
          <w:highlight w:val="none"/>
        </w:rPr>
      </w:pPr>
      <w:r>
        <w:rPr>
          <w:rFonts w:hint="eastAsia"/>
          <w:b/>
          <w:bCs/>
          <w:highlight w:val="none"/>
        </w:rPr>
        <w:br w:type="page"/>
      </w:r>
    </w:p>
    <w:p w14:paraId="58CFAC15">
      <w:pPr>
        <w:snapToGrid w:val="0"/>
        <w:jc w:val="center"/>
        <w:textAlignment w:val="baseline"/>
        <w:rPr>
          <w:rFonts w:hint="eastAsia"/>
          <w:b/>
          <w:sz w:val="21"/>
          <w:szCs w:val="28"/>
          <w:highlight w:val="none"/>
        </w:rPr>
      </w:pPr>
      <w:r>
        <w:rPr>
          <w:rFonts w:hint="eastAsia"/>
          <w:b/>
          <w:bCs/>
          <w:sz w:val="28"/>
          <w:szCs w:val="28"/>
          <w:highlight w:val="none"/>
          <w:lang w:val="en-US" w:eastAsia="zh-CN"/>
        </w:rPr>
        <w:t>5</w:t>
      </w:r>
      <w:r>
        <w:rPr>
          <w:rFonts w:hint="eastAsia"/>
          <w:b/>
          <w:bCs/>
          <w:sz w:val="28"/>
          <w:szCs w:val="28"/>
          <w:highlight w:val="none"/>
        </w:rPr>
        <w:t>.2残疾人福利性单位声明函（如是）</w:t>
      </w:r>
    </w:p>
    <w:p w14:paraId="3209886F">
      <w:pPr>
        <w:snapToGrid w:val="0"/>
        <w:textAlignment w:val="baseline"/>
        <w:rPr>
          <w:rFonts w:hint="eastAsia"/>
          <w:sz w:val="20"/>
          <w:highlight w:val="none"/>
        </w:rPr>
      </w:pPr>
    </w:p>
    <w:p w14:paraId="32C3C5E5">
      <w:pPr>
        <w:snapToGrid w:val="0"/>
        <w:spacing w:line="480" w:lineRule="auto"/>
        <w:ind w:firstLine="480" w:firstLineChars="200"/>
        <w:textAlignment w:val="baseline"/>
        <w:rPr>
          <w:rFonts w:hint="eastAsia"/>
          <w:sz w:val="20"/>
          <w:highlight w:val="none"/>
        </w:rPr>
      </w:pPr>
      <w:r>
        <w:rPr>
          <w:rFonts w:hint="eastAsia"/>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highlight w:val="none"/>
          <w:u w:val="single"/>
        </w:rPr>
        <w:t xml:space="preserve">         </w:t>
      </w:r>
      <w:r>
        <w:rPr>
          <w:rFonts w:hint="eastAsia"/>
          <w:highlight w:val="none"/>
        </w:rPr>
        <w:t>单位的</w:t>
      </w:r>
      <w:r>
        <w:rPr>
          <w:rFonts w:hint="eastAsia"/>
          <w:highlight w:val="none"/>
          <w:u w:val="single"/>
        </w:rPr>
        <w:t xml:space="preserve">         </w:t>
      </w:r>
      <w:r>
        <w:rPr>
          <w:rFonts w:hint="eastAsia"/>
          <w:highlight w:val="none"/>
        </w:rPr>
        <w:t>项目采购活动提供本单位制造的货物（由本单位承担工程/提供服务），或者提供其他残疾人福利性单位制造的货物（不包括使用非残疾人福利性单位注册商标的货物）。</w:t>
      </w:r>
    </w:p>
    <w:p w14:paraId="1B8BA52E">
      <w:pPr>
        <w:snapToGrid w:val="0"/>
        <w:spacing w:line="480" w:lineRule="auto"/>
        <w:ind w:firstLine="480" w:firstLineChars="200"/>
        <w:textAlignment w:val="baseline"/>
        <w:rPr>
          <w:rFonts w:hint="eastAsia"/>
          <w:sz w:val="20"/>
          <w:highlight w:val="none"/>
        </w:rPr>
      </w:pPr>
      <w:r>
        <w:rPr>
          <w:rFonts w:hint="eastAsia"/>
          <w:highlight w:val="none"/>
        </w:rPr>
        <w:t>本单位对上述声明的真实性负责。如有虚假，将依法承担相应责任。</w:t>
      </w:r>
    </w:p>
    <w:p w14:paraId="574C9805">
      <w:pPr>
        <w:snapToGrid w:val="0"/>
        <w:textAlignment w:val="baseline"/>
        <w:rPr>
          <w:rFonts w:hint="eastAsia"/>
          <w:sz w:val="20"/>
          <w:highlight w:val="none"/>
        </w:rPr>
      </w:pPr>
    </w:p>
    <w:p w14:paraId="3070EE81">
      <w:pPr>
        <w:snapToGrid w:val="0"/>
        <w:textAlignment w:val="baseline"/>
        <w:rPr>
          <w:rFonts w:hint="eastAsia"/>
          <w:sz w:val="20"/>
          <w:highlight w:val="none"/>
        </w:rPr>
      </w:pPr>
    </w:p>
    <w:p w14:paraId="777A99E9">
      <w:pPr>
        <w:snapToGrid w:val="0"/>
        <w:spacing w:line="480" w:lineRule="auto"/>
        <w:ind w:firstLine="5520" w:firstLineChars="2300"/>
        <w:textAlignment w:val="baseline"/>
        <w:rPr>
          <w:rFonts w:hint="eastAsia"/>
          <w:sz w:val="20"/>
          <w:highlight w:val="none"/>
        </w:rPr>
      </w:pPr>
      <w:r>
        <w:rPr>
          <w:rFonts w:hint="eastAsia"/>
          <w:highlight w:val="none"/>
        </w:rPr>
        <w:t>单位名称（公章）：</w:t>
      </w:r>
    </w:p>
    <w:p w14:paraId="356F71B0">
      <w:pPr>
        <w:snapToGrid w:val="0"/>
        <w:spacing w:line="480" w:lineRule="auto"/>
        <w:ind w:firstLine="5520" w:firstLineChars="2300"/>
        <w:textAlignment w:val="baseline"/>
        <w:rPr>
          <w:rFonts w:hint="eastAsia"/>
          <w:sz w:val="20"/>
          <w:highlight w:val="none"/>
        </w:rPr>
      </w:pPr>
      <w:r>
        <w:rPr>
          <w:rFonts w:hint="eastAsia"/>
          <w:highlight w:val="none"/>
        </w:rPr>
        <w:t xml:space="preserve">日            期： </w:t>
      </w:r>
    </w:p>
    <w:p w14:paraId="0F693219">
      <w:pPr>
        <w:snapToGrid w:val="0"/>
        <w:spacing w:line="480" w:lineRule="auto"/>
        <w:textAlignment w:val="baseline"/>
        <w:rPr>
          <w:rFonts w:hint="eastAsia"/>
          <w:sz w:val="20"/>
          <w:highlight w:val="none"/>
        </w:rPr>
      </w:pPr>
    </w:p>
    <w:p w14:paraId="51B3B5A8">
      <w:pPr>
        <w:snapToGrid w:val="0"/>
        <w:spacing w:line="480" w:lineRule="auto"/>
        <w:textAlignment w:val="baseline"/>
        <w:rPr>
          <w:rFonts w:hint="eastAsia"/>
          <w:sz w:val="20"/>
          <w:highlight w:val="none"/>
        </w:rPr>
      </w:pPr>
    </w:p>
    <w:p w14:paraId="764CE04B">
      <w:pPr>
        <w:rPr>
          <w:rFonts w:hint="eastAsia"/>
          <w:b/>
          <w:bCs/>
          <w:highlight w:val="none"/>
        </w:rPr>
      </w:pPr>
      <w:r>
        <w:rPr>
          <w:rFonts w:hint="eastAsia"/>
          <w:b/>
          <w:bCs/>
          <w:highlight w:val="none"/>
        </w:rPr>
        <w:t>注：如供应商不是残疾人福利性单位，则不需填写本声明函。</w:t>
      </w:r>
    </w:p>
    <w:p w14:paraId="7E459D85">
      <w:pPr>
        <w:jc w:val="center"/>
        <w:rPr>
          <w:rFonts w:hint="eastAsia"/>
          <w:b/>
          <w:bCs/>
          <w:highlight w:val="none"/>
        </w:rPr>
      </w:pPr>
      <w:r>
        <w:rPr>
          <w:rFonts w:hint="eastAsia"/>
          <w:highlight w:val="none"/>
        </w:rPr>
        <w:br w:type="page"/>
      </w:r>
      <w:r>
        <w:rPr>
          <w:rFonts w:hint="eastAsia" w:cs="宋体"/>
          <w:b/>
          <w:bCs/>
          <w:sz w:val="28"/>
          <w:szCs w:val="28"/>
          <w:highlight w:val="none"/>
          <w:lang w:val="en-US" w:eastAsia="zh-CN"/>
        </w:rPr>
        <w:t>5</w:t>
      </w:r>
      <w:r>
        <w:rPr>
          <w:rFonts w:hint="eastAsia" w:ascii="宋体" w:hAnsi="宋体" w:eastAsia="宋体" w:cs="宋体"/>
          <w:b/>
          <w:bCs/>
          <w:sz w:val="28"/>
          <w:szCs w:val="28"/>
          <w:highlight w:val="none"/>
        </w:rPr>
        <w:t>.</w:t>
      </w:r>
      <w:r>
        <w:rPr>
          <w:rFonts w:hint="eastAsia"/>
          <w:b/>
          <w:bCs/>
          <w:sz w:val="28"/>
          <w:szCs w:val="28"/>
          <w:highlight w:val="none"/>
        </w:rPr>
        <w:t>3监狱企业声明函（如是）</w:t>
      </w:r>
    </w:p>
    <w:p w14:paraId="4FB8F652">
      <w:pPr>
        <w:snapToGrid w:val="0"/>
        <w:spacing w:line="480" w:lineRule="auto"/>
        <w:ind w:firstLine="480" w:firstLineChars="200"/>
        <w:textAlignment w:val="baseline"/>
        <w:rPr>
          <w:rFonts w:hint="eastAsia"/>
          <w:highlight w:val="none"/>
        </w:rPr>
      </w:pPr>
    </w:p>
    <w:p w14:paraId="05CE7D23">
      <w:pPr>
        <w:snapToGrid w:val="0"/>
        <w:spacing w:line="480" w:lineRule="auto"/>
        <w:ind w:firstLine="480" w:firstLineChars="200"/>
        <w:textAlignment w:val="baseline"/>
        <w:rPr>
          <w:rFonts w:hint="eastAsia"/>
          <w:highlight w:val="none"/>
        </w:rPr>
      </w:pPr>
      <w:r>
        <w:rPr>
          <w:rFonts w:hint="eastAsia"/>
          <w:highlight w:val="none"/>
        </w:rPr>
        <w:t>提供省级以上监狱管理局、戒毒管理局（含新疆生产建设兵团）出具的属于监狱企业的证明文件原件扫描件。</w:t>
      </w:r>
    </w:p>
    <w:p w14:paraId="5DA356EB">
      <w:pPr>
        <w:rPr>
          <w:rFonts w:hint="eastAsia"/>
          <w:b/>
          <w:bCs/>
          <w:highlight w:val="none"/>
        </w:rPr>
      </w:pPr>
    </w:p>
    <w:p w14:paraId="5E4A5FD8">
      <w:pPr>
        <w:rPr>
          <w:rFonts w:hint="eastAsia"/>
          <w:b/>
          <w:bCs/>
          <w:highlight w:val="none"/>
        </w:rPr>
      </w:pPr>
      <w:r>
        <w:rPr>
          <w:rFonts w:hint="eastAsia"/>
          <w:b/>
          <w:bCs/>
          <w:highlight w:val="none"/>
        </w:rPr>
        <w:t>注：如供应商不是监狱企业，则不需填写本声明函。</w:t>
      </w:r>
    </w:p>
    <w:p w14:paraId="664BBF94">
      <w:pPr>
        <w:spacing w:line="480" w:lineRule="auto"/>
        <w:jc w:val="center"/>
        <w:rPr>
          <w:rFonts w:hint="eastAsia"/>
          <w:kern w:val="0"/>
          <w:szCs w:val="21"/>
          <w:highlight w:val="none"/>
        </w:rPr>
      </w:pPr>
      <w:r>
        <w:rPr>
          <w:rFonts w:hint="eastAsia"/>
          <w:highlight w:val="none"/>
        </w:rPr>
        <w:br w:type="page"/>
      </w:r>
      <w:bookmarkEnd w:id="656"/>
      <w:bookmarkEnd w:id="657"/>
      <w:bookmarkEnd w:id="658"/>
      <w:bookmarkStart w:id="956" w:name="_Toc520356217"/>
      <w:bookmarkStart w:id="957" w:name="_Toc480942349"/>
      <w:bookmarkStart w:id="958" w:name="_Ref467988698"/>
      <w:bookmarkStart w:id="959" w:name="_Toc216582813"/>
    </w:p>
    <w:p w14:paraId="617CD30E">
      <w:pPr>
        <w:jc w:val="center"/>
        <w:rPr>
          <w:rFonts w:hint="default" w:eastAsia="宋体"/>
          <w:b/>
          <w:bCs/>
          <w:sz w:val="32"/>
          <w:szCs w:val="32"/>
          <w:highlight w:val="none"/>
          <w:lang w:val="en-US" w:eastAsia="zh-CN"/>
        </w:rPr>
      </w:pPr>
      <w:r>
        <w:rPr>
          <w:rFonts w:hint="eastAsia"/>
          <w:b/>
          <w:bCs/>
          <w:sz w:val="32"/>
          <w:szCs w:val="32"/>
          <w:highlight w:val="none"/>
          <w:lang w:val="en-US" w:eastAsia="zh-CN"/>
        </w:rPr>
        <w:t>6</w:t>
      </w:r>
      <w:r>
        <w:rPr>
          <w:rFonts w:hint="eastAsia"/>
          <w:b/>
          <w:bCs/>
          <w:sz w:val="32"/>
          <w:szCs w:val="32"/>
          <w:highlight w:val="none"/>
        </w:rPr>
        <w:t>.公司简介</w:t>
      </w:r>
      <w:r>
        <w:rPr>
          <w:rFonts w:hint="eastAsia"/>
          <w:b/>
          <w:bCs/>
          <w:sz w:val="32"/>
          <w:szCs w:val="32"/>
          <w:highlight w:val="none"/>
          <w:lang w:val="en-US" w:eastAsia="zh-CN"/>
        </w:rPr>
        <w:t>及资格审查资料</w:t>
      </w:r>
    </w:p>
    <w:p w14:paraId="71946417">
      <w:pPr>
        <w:spacing w:before="91" w:line="219" w:lineRule="auto"/>
        <w:ind w:left="37"/>
        <w:rPr>
          <w:rFonts w:ascii="宋体" w:hAnsi="宋体" w:eastAsia="宋体" w:cs="宋体"/>
          <w:sz w:val="28"/>
          <w:szCs w:val="28"/>
          <w:highlight w:val="none"/>
        </w:rPr>
      </w:pPr>
      <w:r>
        <w:rPr>
          <w:rFonts w:ascii="宋体" w:hAnsi="宋体" w:eastAsia="宋体" w:cs="宋体"/>
          <w:b/>
          <w:bCs/>
          <w:spacing w:val="-7"/>
          <w:sz w:val="28"/>
          <w:szCs w:val="28"/>
          <w:highlight w:val="none"/>
        </w:rPr>
        <w:t>附表</w:t>
      </w:r>
      <w:r>
        <w:rPr>
          <w:rFonts w:ascii="宋体" w:hAnsi="宋体" w:eastAsia="宋体" w:cs="宋体"/>
          <w:spacing w:val="-30"/>
          <w:sz w:val="28"/>
          <w:szCs w:val="28"/>
          <w:highlight w:val="none"/>
        </w:rPr>
        <w:t xml:space="preserve"> </w:t>
      </w:r>
      <w:r>
        <w:rPr>
          <w:rFonts w:ascii="宋体" w:hAnsi="宋体" w:eastAsia="宋体" w:cs="宋体"/>
          <w:b/>
          <w:bCs/>
          <w:spacing w:val="-7"/>
          <w:sz w:val="28"/>
          <w:szCs w:val="28"/>
          <w:highlight w:val="none"/>
        </w:rPr>
        <w:t>1：企业状况一览表</w:t>
      </w:r>
    </w:p>
    <w:p w14:paraId="1A87A408">
      <w:pPr>
        <w:spacing w:line="119" w:lineRule="exact"/>
        <w:rPr>
          <w:highlight w:val="none"/>
        </w:rPr>
      </w:pPr>
    </w:p>
    <w:tbl>
      <w:tblPr>
        <w:tblStyle w:val="58"/>
        <w:tblW w:w="94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21"/>
        <w:gridCol w:w="158"/>
        <w:gridCol w:w="1766"/>
        <w:gridCol w:w="705"/>
        <w:gridCol w:w="1221"/>
        <w:gridCol w:w="353"/>
        <w:gridCol w:w="269"/>
        <w:gridCol w:w="777"/>
        <w:gridCol w:w="2356"/>
      </w:tblGrid>
      <w:tr w14:paraId="094DF5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9" w:hRule="atLeast"/>
        </w:trPr>
        <w:tc>
          <w:tcPr>
            <w:tcW w:w="1979" w:type="dxa"/>
            <w:gridSpan w:val="2"/>
            <w:vAlign w:val="top"/>
          </w:tcPr>
          <w:p w14:paraId="4D6F2D6D">
            <w:pPr>
              <w:pStyle w:val="68"/>
              <w:spacing w:before="208" w:line="219" w:lineRule="auto"/>
              <w:ind w:left="390"/>
              <w:rPr>
                <w:sz w:val="24"/>
                <w:szCs w:val="24"/>
                <w:highlight w:val="none"/>
              </w:rPr>
            </w:pPr>
            <w:r>
              <w:rPr>
                <w:spacing w:val="-1"/>
                <w:sz w:val="24"/>
                <w:szCs w:val="24"/>
                <w:highlight w:val="none"/>
              </w:rPr>
              <w:t>供应商名称</w:t>
            </w:r>
          </w:p>
        </w:tc>
        <w:tc>
          <w:tcPr>
            <w:tcW w:w="2471" w:type="dxa"/>
            <w:gridSpan w:val="2"/>
            <w:vAlign w:val="top"/>
          </w:tcPr>
          <w:p w14:paraId="3BF3770E">
            <w:pPr>
              <w:rPr>
                <w:rFonts w:ascii="Arial"/>
                <w:sz w:val="21"/>
                <w:highlight w:val="none"/>
              </w:rPr>
            </w:pPr>
          </w:p>
        </w:tc>
        <w:tc>
          <w:tcPr>
            <w:tcW w:w="1843" w:type="dxa"/>
            <w:gridSpan w:val="3"/>
            <w:vAlign w:val="top"/>
          </w:tcPr>
          <w:p w14:paraId="1A49AFEC">
            <w:pPr>
              <w:pStyle w:val="68"/>
              <w:spacing w:before="208" w:line="220" w:lineRule="auto"/>
              <w:ind w:left="443"/>
              <w:rPr>
                <w:sz w:val="24"/>
                <w:szCs w:val="24"/>
                <w:highlight w:val="none"/>
              </w:rPr>
            </w:pPr>
            <w:r>
              <w:rPr>
                <w:spacing w:val="-2"/>
                <w:sz w:val="24"/>
                <w:szCs w:val="24"/>
                <w:highlight w:val="none"/>
              </w:rPr>
              <w:t>主要业务</w:t>
            </w:r>
          </w:p>
        </w:tc>
        <w:tc>
          <w:tcPr>
            <w:tcW w:w="3133" w:type="dxa"/>
            <w:gridSpan w:val="2"/>
            <w:vAlign w:val="top"/>
          </w:tcPr>
          <w:p w14:paraId="71D93EBA">
            <w:pPr>
              <w:rPr>
                <w:rFonts w:ascii="Arial"/>
                <w:sz w:val="21"/>
                <w:highlight w:val="none"/>
              </w:rPr>
            </w:pPr>
          </w:p>
        </w:tc>
      </w:tr>
      <w:tr w14:paraId="3A36A1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 w:hRule="atLeast"/>
        </w:trPr>
        <w:tc>
          <w:tcPr>
            <w:tcW w:w="1979" w:type="dxa"/>
            <w:gridSpan w:val="2"/>
            <w:vAlign w:val="top"/>
          </w:tcPr>
          <w:p w14:paraId="397CA001">
            <w:pPr>
              <w:pStyle w:val="68"/>
              <w:spacing w:before="204" w:line="221" w:lineRule="auto"/>
              <w:ind w:left="513"/>
              <w:rPr>
                <w:sz w:val="24"/>
                <w:szCs w:val="24"/>
                <w:highlight w:val="none"/>
              </w:rPr>
            </w:pPr>
            <w:r>
              <w:rPr>
                <w:spacing w:val="-2"/>
                <w:sz w:val="24"/>
                <w:szCs w:val="24"/>
                <w:highlight w:val="none"/>
              </w:rPr>
              <w:t>注册资金</w:t>
            </w:r>
          </w:p>
        </w:tc>
        <w:tc>
          <w:tcPr>
            <w:tcW w:w="2471" w:type="dxa"/>
            <w:gridSpan w:val="2"/>
            <w:vAlign w:val="top"/>
          </w:tcPr>
          <w:p w14:paraId="30F7AA84">
            <w:pPr>
              <w:rPr>
                <w:rFonts w:ascii="Arial"/>
                <w:sz w:val="21"/>
                <w:highlight w:val="none"/>
              </w:rPr>
            </w:pPr>
          </w:p>
        </w:tc>
        <w:tc>
          <w:tcPr>
            <w:tcW w:w="1843" w:type="dxa"/>
            <w:gridSpan w:val="3"/>
            <w:vAlign w:val="top"/>
          </w:tcPr>
          <w:p w14:paraId="0A0AF76A">
            <w:pPr>
              <w:pStyle w:val="68"/>
              <w:spacing w:before="204" w:line="220" w:lineRule="auto"/>
              <w:ind w:left="200"/>
              <w:rPr>
                <w:sz w:val="24"/>
                <w:szCs w:val="24"/>
                <w:highlight w:val="none"/>
              </w:rPr>
            </w:pPr>
            <w:r>
              <w:rPr>
                <w:spacing w:val="-1"/>
                <w:sz w:val="24"/>
                <w:szCs w:val="24"/>
                <w:highlight w:val="none"/>
              </w:rPr>
              <w:t>现有职工人数</w:t>
            </w:r>
          </w:p>
        </w:tc>
        <w:tc>
          <w:tcPr>
            <w:tcW w:w="3133" w:type="dxa"/>
            <w:gridSpan w:val="2"/>
            <w:vAlign w:val="top"/>
          </w:tcPr>
          <w:p w14:paraId="1C0CABFB">
            <w:pPr>
              <w:rPr>
                <w:rFonts w:ascii="Arial"/>
                <w:sz w:val="21"/>
                <w:highlight w:val="none"/>
              </w:rPr>
            </w:pPr>
          </w:p>
        </w:tc>
      </w:tr>
      <w:tr w14:paraId="403F18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 w:hRule="atLeast"/>
        </w:trPr>
        <w:tc>
          <w:tcPr>
            <w:tcW w:w="1979" w:type="dxa"/>
            <w:gridSpan w:val="2"/>
            <w:vAlign w:val="top"/>
          </w:tcPr>
          <w:p w14:paraId="76AB05AF">
            <w:pPr>
              <w:pStyle w:val="68"/>
              <w:spacing w:before="205" w:line="220" w:lineRule="auto"/>
              <w:ind w:left="274"/>
              <w:rPr>
                <w:sz w:val="24"/>
                <w:szCs w:val="24"/>
                <w:highlight w:val="none"/>
              </w:rPr>
            </w:pPr>
            <w:r>
              <w:rPr>
                <w:spacing w:val="-1"/>
                <w:sz w:val="24"/>
                <w:szCs w:val="24"/>
                <w:highlight w:val="none"/>
              </w:rPr>
              <w:t>行政管理人数</w:t>
            </w:r>
          </w:p>
        </w:tc>
        <w:tc>
          <w:tcPr>
            <w:tcW w:w="2471" w:type="dxa"/>
            <w:gridSpan w:val="2"/>
            <w:vAlign w:val="top"/>
          </w:tcPr>
          <w:p w14:paraId="4811788F">
            <w:pPr>
              <w:rPr>
                <w:rFonts w:ascii="Arial"/>
                <w:sz w:val="21"/>
                <w:highlight w:val="none"/>
              </w:rPr>
            </w:pPr>
          </w:p>
        </w:tc>
        <w:tc>
          <w:tcPr>
            <w:tcW w:w="1843" w:type="dxa"/>
            <w:gridSpan w:val="3"/>
            <w:vAlign w:val="top"/>
          </w:tcPr>
          <w:p w14:paraId="4311FBD5">
            <w:pPr>
              <w:pStyle w:val="68"/>
              <w:spacing w:before="205" w:line="220" w:lineRule="auto"/>
              <w:ind w:left="199"/>
              <w:rPr>
                <w:sz w:val="24"/>
                <w:szCs w:val="24"/>
                <w:highlight w:val="none"/>
              </w:rPr>
            </w:pPr>
            <w:r>
              <w:rPr>
                <w:spacing w:val="-1"/>
                <w:sz w:val="24"/>
                <w:szCs w:val="24"/>
                <w:highlight w:val="none"/>
              </w:rPr>
              <w:t>技术人员人数</w:t>
            </w:r>
          </w:p>
        </w:tc>
        <w:tc>
          <w:tcPr>
            <w:tcW w:w="3133" w:type="dxa"/>
            <w:gridSpan w:val="2"/>
            <w:vAlign w:val="top"/>
          </w:tcPr>
          <w:p w14:paraId="4FA8E132">
            <w:pPr>
              <w:rPr>
                <w:rFonts w:ascii="Arial"/>
                <w:sz w:val="21"/>
                <w:highlight w:val="none"/>
              </w:rPr>
            </w:pPr>
          </w:p>
        </w:tc>
      </w:tr>
      <w:tr w14:paraId="39D131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1979" w:type="dxa"/>
            <w:gridSpan w:val="2"/>
            <w:vAlign w:val="top"/>
          </w:tcPr>
          <w:p w14:paraId="06D218F3">
            <w:pPr>
              <w:pStyle w:val="68"/>
              <w:spacing w:before="206" w:line="220" w:lineRule="auto"/>
              <w:ind w:left="520"/>
              <w:rPr>
                <w:sz w:val="24"/>
                <w:szCs w:val="24"/>
                <w:highlight w:val="none"/>
              </w:rPr>
            </w:pPr>
            <w:r>
              <w:rPr>
                <w:spacing w:val="-4"/>
                <w:sz w:val="24"/>
                <w:szCs w:val="24"/>
                <w:highlight w:val="none"/>
              </w:rPr>
              <w:t>营业执照</w:t>
            </w:r>
          </w:p>
        </w:tc>
        <w:tc>
          <w:tcPr>
            <w:tcW w:w="7447" w:type="dxa"/>
            <w:gridSpan w:val="7"/>
            <w:vAlign w:val="top"/>
          </w:tcPr>
          <w:p w14:paraId="0CEE09E1">
            <w:pPr>
              <w:pStyle w:val="68"/>
              <w:spacing w:before="206" w:line="220" w:lineRule="auto"/>
              <w:ind w:left="1566"/>
              <w:rPr>
                <w:sz w:val="24"/>
                <w:szCs w:val="24"/>
                <w:highlight w:val="none"/>
              </w:rPr>
            </w:pPr>
            <w:r>
              <w:rPr>
                <w:spacing w:val="-1"/>
                <w:sz w:val="24"/>
                <w:szCs w:val="24"/>
                <w:highlight w:val="none"/>
              </w:rPr>
              <w:t>1.执照编号   2.营业范围</w:t>
            </w:r>
            <w:r>
              <w:rPr>
                <w:spacing w:val="8"/>
                <w:sz w:val="24"/>
                <w:szCs w:val="24"/>
                <w:highlight w:val="none"/>
              </w:rPr>
              <w:t xml:space="preserve">   </w:t>
            </w:r>
            <w:r>
              <w:rPr>
                <w:spacing w:val="-1"/>
                <w:sz w:val="24"/>
                <w:szCs w:val="24"/>
                <w:highlight w:val="none"/>
              </w:rPr>
              <w:t>3.发照部门</w:t>
            </w:r>
          </w:p>
        </w:tc>
      </w:tr>
      <w:tr w14:paraId="504F67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 w:hRule="atLeast"/>
        </w:trPr>
        <w:tc>
          <w:tcPr>
            <w:tcW w:w="1979" w:type="dxa"/>
            <w:gridSpan w:val="2"/>
            <w:vAlign w:val="top"/>
          </w:tcPr>
          <w:p w14:paraId="2028E09F">
            <w:pPr>
              <w:pStyle w:val="68"/>
              <w:spacing w:before="207" w:line="220" w:lineRule="auto"/>
              <w:ind w:left="515"/>
              <w:rPr>
                <w:sz w:val="24"/>
                <w:szCs w:val="24"/>
                <w:highlight w:val="none"/>
              </w:rPr>
            </w:pPr>
            <w:r>
              <w:rPr>
                <w:spacing w:val="-2"/>
                <w:sz w:val="24"/>
                <w:szCs w:val="24"/>
                <w:highlight w:val="none"/>
              </w:rPr>
              <w:t>单位资质</w:t>
            </w:r>
          </w:p>
        </w:tc>
        <w:tc>
          <w:tcPr>
            <w:tcW w:w="7447" w:type="dxa"/>
            <w:gridSpan w:val="7"/>
            <w:vAlign w:val="top"/>
          </w:tcPr>
          <w:p w14:paraId="06DB77F8">
            <w:pPr>
              <w:pStyle w:val="68"/>
              <w:spacing w:before="206" w:line="220" w:lineRule="auto"/>
              <w:ind w:left="1566"/>
              <w:rPr>
                <w:sz w:val="24"/>
                <w:szCs w:val="24"/>
                <w:highlight w:val="none"/>
              </w:rPr>
            </w:pPr>
            <w:r>
              <w:rPr>
                <w:spacing w:val="-1"/>
                <w:sz w:val="24"/>
                <w:szCs w:val="24"/>
                <w:highlight w:val="none"/>
              </w:rPr>
              <w:t>1.执照编号   2.资质等级</w:t>
            </w:r>
            <w:r>
              <w:rPr>
                <w:spacing w:val="8"/>
                <w:sz w:val="24"/>
                <w:szCs w:val="24"/>
                <w:highlight w:val="none"/>
              </w:rPr>
              <w:t xml:space="preserve">   </w:t>
            </w:r>
            <w:r>
              <w:rPr>
                <w:spacing w:val="-1"/>
                <w:sz w:val="24"/>
                <w:szCs w:val="24"/>
                <w:highlight w:val="none"/>
              </w:rPr>
              <w:t>3.发证部门</w:t>
            </w:r>
          </w:p>
        </w:tc>
      </w:tr>
      <w:tr w14:paraId="342821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1979" w:type="dxa"/>
            <w:gridSpan w:val="2"/>
            <w:vAlign w:val="top"/>
          </w:tcPr>
          <w:p w14:paraId="3049FB54">
            <w:pPr>
              <w:pStyle w:val="68"/>
              <w:spacing w:before="208" w:line="220" w:lineRule="auto"/>
              <w:ind w:left="272"/>
              <w:rPr>
                <w:sz w:val="24"/>
                <w:szCs w:val="24"/>
                <w:highlight w:val="none"/>
              </w:rPr>
            </w:pPr>
            <w:r>
              <w:rPr>
                <w:spacing w:val="-1"/>
                <w:sz w:val="24"/>
                <w:szCs w:val="24"/>
                <w:highlight w:val="none"/>
              </w:rPr>
              <w:t>单位注册地址</w:t>
            </w:r>
          </w:p>
        </w:tc>
        <w:tc>
          <w:tcPr>
            <w:tcW w:w="2471" w:type="dxa"/>
            <w:gridSpan w:val="2"/>
            <w:vAlign w:val="top"/>
          </w:tcPr>
          <w:p w14:paraId="0BA1B2C7">
            <w:pPr>
              <w:rPr>
                <w:rFonts w:ascii="Arial"/>
                <w:sz w:val="21"/>
                <w:highlight w:val="none"/>
              </w:rPr>
            </w:pPr>
          </w:p>
        </w:tc>
        <w:tc>
          <w:tcPr>
            <w:tcW w:w="1574" w:type="dxa"/>
            <w:gridSpan w:val="2"/>
            <w:vAlign w:val="top"/>
          </w:tcPr>
          <w:p w14:paraId="1FD7ECF5">
            <w:pPr>
              <w:pStyle w:val="68"/>
              <w:spacing w:before="52" w:line="228" w:lineRule="auto"/>
              <w:ind w:left="185" w:right="184" w:firstLine="2"/>
              <w:rPr>
                <w:sz w:val="24"/>
                <w:szCs w:val="24"/>
                <w:highlight w:val="none"/>
              </w:rPr>
            </w:pPr>
            <w:r>
              <w:rPr>
                <w:spacing w:val="-1"/>
                <w:sz w:val="24"/>
                <w:szCs w:val="24"/>
                <w:highlight w:val="none"/>
              </w:rPr>
              <w:t>单位联系人</w:t>
            </w:r>
            <w:r>
              <w:rPr>
                <w:sz w:val="24"/>
                <w:szCs w:val="24"/>
                <w:highlight w:val="none"/>
              </w:rPr>
              <w:t xml:space="preserve"> </w:t>
            </w:r>
            <w:r>
              <w:rPr>
                <w:spacing w:val="-1"/>
                <w:sz w:val="24"/>
                <w:szCs w:val="24"/>
                <w:highlight w:val="none"/>
              </w:rPr>
              <w:t>及联系方式</w:t>
            </w:r>
          </w:p>
        </w:tc>
        <w:tc>
          <w:tcPr>
            <w:tcW w:w="3402" w:type="dxa"/>
            <w:gridSpan w:val="3"/>
            <w:vAlign w:val="top"/>
          </w:tcPr>
          <w:p w14:paraId="04100E71">
            <w:pPr>
              <w:pStyle w:val="68"/>
              <w:spacing w:before="208" w:line="219" w:lineRule="auto"/>
              <w:ind w:left="501"/>
              <w:rPr>
                <w:sz w:val="24"/>
                <w:szCs w:val="24"/>
                <w:highlight w:val="none"/>
              </w:rPr>
            </w:pPr>
            <w:r>
              <w:rPr>
                <w:spacing w:val="-1"/>
                <w:sz w:val="24"/>
                <w:szCs w:val="24"/>
                <w:highlight w:val="none"/>
              </w:rPr>
              <w:t>（电话、传真、邮址）</w:t>
            </w:r>
          </w:p>
        </w:tc>
      </w:tr>
      <w:tr w14:paraId="03C8B1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1979" w:type="dxa"/>
            <w:gridSpan w:val="2"/>
            <w:vAlign w:val="top"/>
          </w:tcPr>
          <w:p w14:paraId="48F23F8D">
            <w:pPr>
              <w:pStyle w:val="68"/>
              <w:spacing w:before="208" w:line="220" w:lineRule="auto"/>
              <w:ind w:left="272"/>
              <w:rPr>
                <w:sz w:val="24"/>
                <w:szCs w:val="24"/>
                <w:highlight w:val="none"/>
              </w:rPr>
            </w:pPr>
            <w:r>
              <w:rPr>
                <w:spacing w:val="-1"/>
                <w:sz w:val="24"/>
                <w:szCs w:val="24"/>
                <w:highlight w:val="none"/>
              </w:rPr>
              <w:t>单位成立时间</w:t>
            </w:r>
          </w:p>
        </w:tc>
        <w:tc>
          <w:tcPr>
            <w:tcW w:w="7447" w:type="dxa"/>
            <w:gridSpan w:val="7"/>
            <w:vAlign w:val="top"/>
          </w:tcPr>
          <w:p w14:paraId="5918D1C1">
            <w:pPr>
              <w:rPr>
                <w:rFonts w:ascii="Arial"/>
                <w:sz w:val="21"/>
                <w:highlight w:val="none"/>
              </w:rPr>
            </w:pPr>
          </w:p>
        </w:tc>
      </w:tr>
      <w:tr w14:paraId="7E9786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1979" w:type="dxa"/>
            <w:gridSpan w:val="2"/>
            <w:vAlign w:val="top"/>
          </w:tcPr>
          <w:p w14:paraId="1EB03293">
            <w:pPr>
              <w:pStyle w:val="68"/>
              <w:spacing w:before="208" w:line="220" w:lineRule="auto"/>
              <w:ind w:left="514"/>
              <w:rPr>
                <w:sz w:val="24"/>
                <w:szCs w:val="24"/>
                <w:highlight w:val="none"/>
              </w:rPr>
            </w:pPr>
            <w:r>
              <w:rPr>
                <w:spacing w:val="-2"/>
                <w:sz w:val="24"/>
                <w:szCs w:val="24"/>
                <w:highlight w:val="none"/>
              </w:rPr>
              <w:t>开户银行</w:t>
            </w:r>
          </w:p>
        </w:tc>
        <w:tc>
          <w:tcPr>
            <w:tcW w:w="7447" w:type="dxa"/>
            <w:gridSpan w:val="7"/>
            <w:vAlign w:val="top"/>
          </w:tcPr>
          <w:p w14:paraId="511177E7">
            <w:pPr>
              <w:pStyle w:val="68"/>
              <w:spacing w:before="208" w:line="220" w:lineRule="auto"/>
              <w:ind w:left="2154"/>
              <w:rPr>
                <w:sz w:val="24"/>
                <w:szCs w:val="24"/>
                <w:highlight w:val="none"/>
              </w:rPr>
            </w:pPr>
            <w:r>
              <w:rPr>
                <w:sz w:val="24"/>
                <w:szCs w:val="24"/>
                <w:highlight w:val="none"/>
              </w:rPr>
              <w:t>开户行、开户名称、银行帐号</w:t>
            </w:r>
          </w:p>
        </w:tc>
      </w:tr>
      <w:tr w14:paraId="406CF4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9426" w:type="dxa"/>
            <w:gridSpan w:val="9"/>
            <w:vAlign w:val="top"/>
          </w:tcPr>
          <w:p w14:paraId="0895991F">
            <w:pPr>
              <w:pStyle w:val="68"/>
              <w:spacing w:before="208" w:line="219" w:lineRule="auto"/>
              <w:ind w:left="3167"/>
              <w:rPr>
                <w:sz w:val="24"/>
                <w:szCs w:val="24"/>
                <w:highlight w:val="none"/>
              </w:rPr>
            </w:pPr>
            <w:r>
              <w:rPr>
                <w:spacing w:val="-1"/>
                <w:sz w:val="24"/>
                <w:szCs w:val="24"/>
                <w:highlight w:val="none"/>
              </w:rPr>
              <w:t>固定经营场所或售后服务机构</w:t>
            </w:r>
          </w:p>
        </w:tc>
      </w:tr>
      <w:tr w14:paraId="5572EB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1821" w:type="dxa"/>
            <w:vAlign w:val="top"/>
          </w:tcPr>
          <w:p w14:paraId="36E2D57B">
            <w:pPr>
              <w:pStyle w:val="68"/>
              <w:spacing w:before="208" w:line="219" w:lineRule="auto"/>
              <w:ind w:left="433"/>
              <w:rPr>
                <w:sz w:val="24"/>
                <w:szCs w:val="24"/>
                <w:highlight w:val="none"/>
              </w:rPr>
            </w:pPr>
            <w:r>
              <w:rPr>
                <w:spacing w:val="-2"/>
                <w:sz w:val="24"/>
                <w:szCs w:val="24"/>
                <w:highlight w:val="none"/>
              </w:rPr>
              <w:t>机构名称</w:t>
            </w:r>
          </w:p>
        </w:tc>
        <w:tc>
          <w:tcPr>
            <w:tcW w:w="1924" w:type="dxa"/>
            <w:gridSpan w:val="2"/>
            <w:vAlign w:val="top"/>
          </w:tcPr>
          <w:p w14:paraId="6692C0E7">
            <w:pPr>
              <w:pStyle w:val="68"/>
              <w:spacing w:before="208" w:line="221" w:lineRule="auto"/>
              <w:ind w:left="480"/>
              <w:rPr>
                <w:sz w:val="24"/>
                <w:szCs w:val="24"/>
                <w:highlight w:val="none"/>
              </w:rPr>
            </w:pPr>
            <w:r>
              <w:rPr>
                <w:spacing w:val="-2"/>
                <w:sz w:val="24"/>
                <w:szCs w:val="24"/>
                <w:highlight w:val="none"/>
              </w:rPr>
              <w:t>注册地址</w:t>
            </w:r>
          </w:p>
        </w:tc>
        <w:tc>
          <w:tcPr>
            <w:tcW w:w="1926" w:type="dxa"/>
            <w:gridSpan w:val="2"/>
            <w:vAlign w:val="top"/>
          </w:tcPr>
          <w:p w14:paraId="60AF672A">
            <w:pPr>
              <w:pStyle w:val="68"/>
              <w:spacing w:before="208" w:line="222" w:lineRule="auto"/>
              <w:ind w:left="607"/>
              <w:rPr>
                <w:sz w:val="24"/>
                <w:szCs w:val="24"/>
                <w:highlight w:val="none"/>
              </w:rPr>
            </w:pPr>
            <w:r>
              <w:rPr>
                <w:spacing w:val="-3"/>
                <w:sz w:val="24"/>
                <w:szCs w:val="24"/>
                <w:highlight w:val="none"/>
              </w:rPr>
              <w:t>联系人</w:t>
            </w:r>
          </w:p>
        </w:tc>
        <w:tc>
          <w:tcPr>
            <w:tcW w:w="1399" w:type="dxa"/>
            <w:gridSpan w:val="3"/>
            <w:vAlign w:val="top"/>
          </w:tcPr>
          <w:p w14:paraId="6F53398F">
            <w:pPr>
              <w:pStyle w:val="68"/>
              <w:spacing w:before="208" w:line="221" w:lineRule="auto"/>
              <w:ind w:left="222"/>
              <w:rPr>
                <w:sz w:val="24"/>
                <w:szCs w:val="24"/>
                <w:highlight w:val="none"/>
              </w:rPr>
            </w:pPr>
            <w:r>
              <w:rPr>
                <w:spacing w:val="-2"/>
                <w:sz w:val="24"/>
                <w:szCs w:val="24"/>
                <w:highlight w:val="none"/>
              </w:rPr>
              <w:t>联络方式</w:t>
            </w:r>
          </w:p>
        </w:tc>
        <w:tc>
          <w:tcPr>
            <w:tcW w:w="2356" w:type="dxa"/>
            <w:vAlign w:val="top"/>
          </w:tcPr>
          <w:p w14:paraId="5E68CFEA">
            <w:pPr>
              <w:pStyle w:val="68"/>
              <w:spacing w:before="208" w:line="220" w:lineRule="auto"/>
              <w:ind w:left="698"/>
              <w:rPr>
                <w:sz w:val="24"/>
                <w:szCs w:val="24"/>
                <w:highlight w:val="none"/>
              </w:rPr>
            </w:pPr>
            <w:r>
              <w:rPr>
                <w:spacing w:val="-2"/>
                <w:sz w:val="24"/>
                <w:szCs w:val="24"/>
                <w:highlight w:val="none"/>
              </w:rPr>
              <w:t>业务范围</w:t>
            </w:r>
          </w:p>
        </w:tc>
      </w:tr>
      <w:tr w14:paraId="00C514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1821" w:type="dxa"/>
            <w:vAlign w:val="top"/>
          </w:tcPr>
          <w:p w14:paraId="591ACF83">
            <w:pPr>
              <w:rPr>
                <w:rFonts w:ascii="Arial"/>
                <w:sz w:val="21"/>
                <w:highlight w:val="none"/>
              </w:rPr>
            </w:pPr>
          </w:p>
        </w:tc>
        <w:tc>
          <w:tcPr>
            <w:tcW w:w="1924" w:type="dxa"/>
            <w:gridSpan w:val="2"/>
            <w:vAlign w:val="top"/>
          </w:tcPr>
          <w:p w14:paraId="18E499E6">
            <w:pPr>
              <w:rPr>
                <w:rFonts w:ascii="Arial"/>
                <w:sz w:val="21"/>
                <w:highlight w:val="none"/>
              </w:rPr>
            </w:pPr>
          </w:p>
        </w:tc>
        <w:tc>
          <w:tcPr>
            <w:tcW w:w="1926" w:type="dxa"/>
            <w:gridSpan w:val="2"/>
            <w:vAlign w:val="top"/>
          </w:tcPr>
          <w:p w14:paraId="7C1AC584">
            <w:pPr>
              <w:rPr>
                <w:rFonts w:ascii="Arial"/>
                <w:sz w:val="21"/>
                <w:highlight w:val="none"/>
              </w:rPr>
            </w:pPr>
          </w:p>
        </w:tc>
        <w:tc>
          <w:tcPr>
            <w:tcW w:w="1399" w:type="dxa"/>
            <w:gridSpan w:val="3"/>
            <w:vAlign w:val="top"/>
          </w:tcPr>
          <w:p w14:paraId="59943B9F">
            <w:pPr>
              <w:rPr>
                <w:rFonts w:ascii="Arial"/>
                <w:sz w:val="21"/>
                <w:highlight w:val="none"/>
              </w:rPr>
            </w:pPr>
          </w:p>
        </w:tc>
        <w:tc>
          <w:tcPr>
            <w:tcW w:w="2356" w:type="dxa"/>
            <w:vAlign w:val="top"/>
          </w:tcPr>
          <w:p w14:paraId="414B8EED">
            <w:pPr>
              <w:rPr>
                <w:rFonts w:ascii="Arial"/>
                <w:sz w:val="21"/>
                <w:highlight w:val="none"/>
              </w:rPr>
            </w:pPr>
          </w:p>
        </w:tc>
      </w:tr>
      <w:tr w14:paraId="330C75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9" w:hRule="atLeast"/>
        </w:trPr>
        <w:tc>
          <w:tcPr>
            <w:tcW w:w="1821" w:type="dxa"/>
            <w:vAlign w:val="top"/>
          </w:tcPr>
          <w:p w14:paraId="2D3782AB">
            <w:pPr>
              <w:rPr>
                <w:rFonts w:ascii="Arial"/>
                <w:sz w:val="21"/>
                <w:highlight w:val="none"/>
              </w:rPr>
            </w:pPr>
          </w:p>
        </w:tc>
        <w:tc>
          <w:tcPr>
            <w:tcW w:w="1924" w:type="dxa"/>
            <w:gridSpan w:val="2"/>
            <w:vAlign w:val="top"/>
          </w:tcPr>
          <w:p w14:paraId="5617B1C3">
            <w:pPr>
              <w:rPr>
                <w:rFonts w:ascii="Arial"/>
                <w:sz w:val="21"/>
                <w:highlight w:val="none"/>
              </w:rPr>
            </w:pPr>
          </w:p>
        </w:tc>
        <w:tc>
          <w:tcPr>
            <w:tcW w:w="1926" w:type="dxa"/>
            <w:gridSpan w:val="2"/>
            <w:vAlign w:val="top"/>
          </w:tcPr>
          <w:p w14:paraId="694FAFFA">
            <w:pPr>
              <w:rPr>
                <w:rFonts w:ascii="Arial"/>
                <w:sz w:val="21"/>
                <w:highlight w:val="none"/>
              </w:rPr>
            </w:pPr>
          </w:p>
        </w:tc>
        <w:tc>
          <w:tcPr>
            <w:tcW w:w="1399" w:type="dxa"/>
            <w:gridSpan w:val="3"/>
            <w:vAlign w:val="top"/>
          </w:tcPr>
          <w:p w14:paraId="10260545">
            <w:pPr>
              <w:rPr>
                <w:rFonts w:ascii="Arial"/>
                <w:sz w:val="21"/>
                <w:highlight w:val="none"/>
              </w:rPr>
            </w:pPr>
          </w:p>
        </w:tc>
        <w:tc>
          <w:tcPr>
            <w:tcW w:w="2356" w:type="dxa"/>
            <w:vAlign w:val="top"/>
          </w:tcPr>
          <w:p w14:paraId="7F067780">
            <w:pPr>
              <w:rPr>
                <w:rFonts w:ascii="Arial"/>
                <w:sz w:val="21"/>
                <w:highlight w:val="none"/>
              </w:rPr>
            </w:pPr>
          </w:p>
        </w:tc>
      </w:tr>
    </w:tbl>
    <w:p w14:paraId="31A42EC3">
      <w:pPr>
        <w:keepNext w:val="0"/>
        <w:keepLines w:val="0"/>
        <w:pageBreakBefore w:val="0"/>
        <w:widowControl w:val="0"/>
        <w:kinsoku/>
        <w:wordWrap/>
        <w:overflowPunct/>
        <w:topLinePunct w:val="0"/>
        <w:autoSpaceDE/>
        <w:autoSpaceDN/>
        <w:bidi w:val="0"/>
        <w:adjustRightInd/>
        <w:snapToGrid/>
        <w:spacing w:line="240" w:lineRule="auto"/>
        <w:ind w:left="11" w:right="544" w:firstLine="431"/>
        <w:jc w:val="both"/>
        <w:textAlignment w:val="auto"/>
        <w:rPr>
          <w:rFonts w:ascii="宋体" w:hAnsi="宋体" w:eastAsia="宋体" w:cs="宋体"/>
          <w:b/>
          <w:bCs/>
          <w:spacing w:val="-1"/>
          <w:sz w:val="21"/>
          <w:szCs w:val="21"/>
          <w:highlight w:val="none"/>
        </w:rPr>
      </w:pPr>
      <w:r>
        <w:rPr>
          <w:rFonts w:ascii="宋体" w:hAnsi="宋体" w:eastAsia="宋体" w:cs="宋体"/>
          <w:b/>
          <w:bCs/>
          <w:spacing w:val="-1"/>
          <w:sz w:val="21"/>
          <w:szCs w:val="21"/>
          <w:highlight w:val="none"/>
        </w:rPr>
        <w:t>说明：1、该表填写必须清楚，准确无误，真实有效；</w:t>
      </w:r>
    </w:p>
    <w:p w14:paraId="1ED708F3">
      <w:pPr>
        <w:keepNext w:val="0"/>
        <w:keepLines w:val="0"/>
        <w:pageBreakBefore w:val="0"/>
        <w:widowControl w:val="0"/>
        <w:numPr>
          <w:ilvl w:val="0"/>
          <w:numId w:val="7"/>
        </w:numPr>
        <w:kinsoku/>
        <w:wordWrap/>
        <w:overflowPunct/>
        <w:topLinePunct w:val="0"/>
        <w:autoSpaceDE/>
        <w:autoSpaceDN/>
        <w:bidi w:val="0"/>
        <w:adjustRightInd/>
        <w:snapToGrid/>
        <w:spacing w:line="240" w:lineRule="auto"/>
        <w:ind w:left="11" w:right="544" w:firstLine="431"/>
        <w:jc w:val="both"/>
        <w:textAlignment w:val="auto"/>
        <w:rPr>
          <w:rFonts w:ascii="宋体" w:hAnsi="宋体" w:eastAsia="宋体" w:cs="宋体"/>
          <w:b/>
          <w:bCs/>
          <w:sz w:val="21"/>
          <w:szCs w:val="21"/>
          <w:highlight w:val="none"/>
        </w:rPr>
      </w:pPr>
      <w:r>
        <w:rPr>
          <w:rFonts w:ascii="宋体" w:hAnsi="宋体" w:eastAsia="宋体" w:cs="宋体"/>
          <w:b/>
          <w:bCs/>
          <w:spacing w:val="-1"/>
          <w:sz w:val="21"/>
          <w:szCs w:val="21"/>
          <w:highlight w:val="none"/>
        </w:rPr>
        <w:t>对本表中任何内容</w:t>
      </w:r>
      <w:r>
        <w:rPr>
          <w:rFonts w:ascii="宋体" w:hAnsi="宋体" w:eastAsia="宋体" w:cs="宋体"/>
          <w:b/>
          <w:bCs/>
          <w:spacing w:val="-2"/>
          <w:sz w:val="21"/>
          <w:szCs w:val="21"/>
          <w:highlight w:val="none"/>
        </w:rPr>
        <w:t>的修改，必须加</w:t>
      </w:r>
      <w:r>
        <w:rPr>
          <w:rFonts w:ascii="宋体" w:hAnsi="宋体" w:eastAsia="宋体" w:cs="宋体"/>
          <w:sz w:val="21"/>
          <w:szCs w:val="21"/>
          <w:highlight w:val="none"/>
        </w:rPr>
        <w:t xml:space="preserve"> </w:t>
      </w:r>
      <w:r>
        <w:rPr>
          <w:rFonts w:ascii="宋体" w:hAnsi="宋体" w:eastAsia="宋体" w:cs="宋体"/>
          <w:b/>
          <w:bCs/>
          <w:sz w:val="21"/>
          <w:szCs w:val="21"/>
          <w:highlight w:val="none"/>
        </w:rPr>
        <w:t>盖公章予以确认；</w:t>
      </w:r>
    </w:p>
    <w:p w14:paraId="7953E00E">
      <w:pPr>
        <w:keepNext w:val="0"/>
        <w:keepLines w:val="0"/>
        <w:pageBreakBefore w:val="0"/>
        <w:widowControl w:val="0"/>
        <w:numPr>
          <w:ilvl w:val="0"/>
          <w:numId w:val="7"/>
        </w:numPr>
        <w:kinsoku/>
        <w:wordWrap/>
        <w:overflowPunct/>
        <w:topLinePunct w:val="0"/>
        <w:autoSpaceDE/>
        <w:autoSpaceDN/>
        <w:bidi w:val="0"/>
        <w:adjustRightInd/>
        <w:snapToGrid/>
        <w:spacing w:line="240" w:lineRule="auto"/>
        <w:ind w:left="11" w:right="544" w:firstLine="431"/>
        <w:jc w:val="both"/>
        <w:textAlignment w:val="auto"/>
        <w:rPr>
          <w:rFonts w:ascii="宋体" w:hAnsi="宋体" w:eastAsia="宋体" w:cs="宋体"/>
          <w:sz w:val="21"/>
          <w:szCs w:val="21"/>
          <w:highlight w:val="none"/>
        </w:rPr>
      </w:pPr>
      <w:r>
        <w:rPr>
          <w:rFonts w:ascii="宋体" w:hAnsi="宋体" w:eastAsia="宋体" w:cs="宋体"/>
          <w:b/>
          <w:bCs/>
          <w:sz w:val="21"/>
          <w:szCs w:val="21"/>
          <w:highlight w:val="none"/>
        </w:rPr>
        <w:t>该表后附有效的营业执照、资质复印件、信誉业绩、获奖等相关资料复印</w:t>
      </w:r>
      <w:r>
        <w:rPr>
          <w:rFonts w:ascii="宋体" w:hAnsi="宋体" w:eastAsia="宋体" w:cs="宋体"/>
          <w:b/>
          <w:bCs/>
          <w:spacing w:val="-6"/>
          <w:sz w:val="21"/>
          <w:szCs w:val="21"/>
          <w:highlight w:val="none"/>
        </w:rPr>
        <w:t>件；</w:t>
      </w:r>
    </w:p>
    <w:p w14:paraId="1D43339C">
      <w:pPr>
        <w:pStyle w:val="10"/>
        <w:spacing w:line="253" w:lineRule="auto"/>
        <w:rPr>
          <w:highlight w:val="none"/>
        </w:rPr>
      </w:pPr>
    </w:p>
    <w:p w14:paraId="6B81BBB3">
      <w:pPr>
        <w:pStyle w:val="10"/>
        <w:spacing w:line="253" w:lineRule="auto"/>
        <w:rPr>
          <w:highlight w:val="none"/>
        </w:rPr>
      </w:pPr>
    </w:p>
    <w:p w14:paraId="6BC67F36">
      <w:pPr>
        <w:spacing w:before="79" w:line="480" w:lineRule="auto"/>
        <w:ind w:left="14"/>
        <w:rPr>
          <w:rFonts w:ascii="宋体" w:hAnsi="宋体" w:eastAsia="宋体" w:cs="宋体"/>
          <w:sz w:val="24"/>
          <w:szCs w:val="24"/>
          <w:highlight w:val="none"/>
        </w:rPr>
      </w:pPr>
      <w:r>
        <w:rPr>
          <w:rFonts w:ascii="宋体" w:hAnsi="宋体" w:eastAsia="宋体" w:cs="宋体"/>
          <w:spacing w:val="-2"/>
          <w:sz w:val="24"/>
          <w:szCs w:val="24"/>
          <w:highlight w:val="none"/>
        </w:rPr>
        <w:t>供应商</w:t>
      </w:r>
      <w:r>
        <w:rPr>
          <w:rFonts w:ascii="宋体" w:hAnsi="宋体" w:eastAsia="宋体" w:cs="宋体"/>
          <w:spacing w:val="4"/>
          <w:sz w:val="24"/>
          <w:szCs w:val="24"/>
          <w:highlight w:val="none"/>
        </w:rPr>
        <w:t>：</w:t>
      </w:r>
      <w:r>
        <w:rPr>
          <w:rFonts w:ascii="宋体" w:hAnsi="宋体" w:eastAsia="宋体" w:cs="宋体"/>
          <w:spacing w:val="1"/>
          <w:sz w:val="24"/>
          <w:szCs w:val="24"/>
          <w:highlight w:val="none"/>
          <w:u w:val="single" w:color="auto"/>
        </w:rPr>
        <w:t xml:space="preserve">                     </w:t>
      </w:r>
      <w:r>
        <w:rPr>
          <w:rFonts w:ascii="宋体" w:hAnsi="宋体" w:eastAsia="宋体" w:cs="宋体"/>
          <w:spacing w:val="4"/>
          <w:sz w:val="24"/>
          <w:szCs w:val="24"/>
          <w:highlight w:val="none"/>
        </w:rPr>
        <w:t>（</w:t>
      </w:r>
      <w:r>
        <w:rPr>
          <w:rFonts w:ascii="宋体" w:hAnsi="宋体" w:eastAsia="宋体" w:cs="宋体"/>
          <w:spacing w:val="-2"/>
          <w:sz w:val="24"/>
          <w:szCs w:val="24"/>
          <w:highlight w:val="none"/>
        </w:rPr>
        <w:t>盖单位章）</w:t>
      </w:r>
    </w:p>
    <w:p w14:paraId="66228F49">
      <w:pPr>
        <w:spacing w:line="480" w:lineRule="auto"/>
        <w:rPr>
          <w:rFonts w:ascii="宋体" w:hAnsi="宋体" w:eastAsia="宋体" w:cs="宋体"/>
          <w:spacing w:val="2"/>
          <w:sz w:val="24"/>
          <w:szCs w:val="24"/>
          <w:highlight w:val="none"/>
        </w:rPr>
      </w:pPr>
      <w:r>
        <w:rPr>
          <w:rFonts w:ascii="宋体" w:hAnsi="宋体" w:eastAsia="宋体" w:cs="宋体"/>
          <w:spacing w:val="2"/>
          <w:sz w:val="24"/>
          <w:szCs w:val="24"/>
          <w:highlight w:val="none"/>
        </w:rPr>
        <w:t>供应商法定代表人或其委托代理人</w:t>
      </w:r>
      <w:r>
        <w:rPr>
          <w:rFonts w:ascii="宋体" w:hAnsi="宋体" w:eastAsia="宋体" w:cs="宋体"/>
          <w:spacing w:val="-15"/>
          <w:sz w:val="24"/>
          <w:szCs w:val="24"/>
          <w:highlight w:val="none"/>
        </w:rPr>
        <w:t>：</w:t>
      </w:r>
      <w:r>
        <w:rPr>
          <w:rFonts w:ascii="宋体" w:hAnsi="宋体" w:eastAsia="宋体" w:cs="宋体"/>
          <w:spacing w:val="1"/>
          <w:sz w:val="24"/>
          <w:szCs w:val="24"/>
          <w:highlight w:val="none"/>
          <w:u w:val="single" w:color="auto"/>
        </w:rPr>
        <w:t xml:space="preserve">         </w:t>
      </w:r>
      <w:r>
        <w:rPr>
          <w:rFonts w:ascii="宋体" w:hAnsi="宋体" w:eastAsia="宋体" w:cs="宋体"/>
          <w:spacing w:val="-15"/>
          <w:sz w:val="24"/>
          <w:szCs w:val="24"/>
          <w:highlight w:val="none"/>
        </w:rPr>
        <w:t>（</w:t>
      </w:r>
      <w:r>
        <w:rPr>
          <w:rFonts w:ascii="宋体" w:hAnsi="宋体" w:eastAsia="宋体" w:cs="宋体"/>
          <w:spacing w:val="2"/>
          <w:sz w:val="24"/>
          <w:szCs w:val="24"/>
          <w:highlight w:val="none"/>
        </w:rPr>
        <w:t>签字或盖章）</w:t>
      </w:r>
    </w:p>
    <w:p w14:paraId="007D213C">
      <w:pPr>
        <w:spacing w:line="480" w:lineRule="auto"/>
        <w:rPr>
          <w:rFonts w:ascii="宋体" w:hAnsi="宋体" w:eastAsia="宋体" w:cs="宋体"/>
          <w:spacing w:val="-9"/>
          <w:sz w:val="24"/>
          <w:szCs w:val="24"/>
          <w:highlight w:val="none"/>
        </w:rPr>
      </w:pPr>
      <w:r>
        <w:rPr>
          <w:rFonts w:hint="eastAsia" w:ascii="宋体" w:hAnsi="宋体" w:eastAsia="宋体" w:cs="宋体"/>
          <w:spacing w:val="2"/>
          <w:sz w:val="24"/>
          <w:szCs w:val="24"/>
          <w:highlight w:val="none"/>
          <w:lang w:val="en-US" w:eastAsia="zh-CN"/>
        </w:rPr>
        <w:t>日期：</w:t>
      </w:r>
      <w:r>
        <w:rPr>
          <w:rFonts w:hint="eastAsia" w:ascii="宋体" w:hAnsi="宋体" w:eastAsia="宋体" w:cs="宋体"/>
          <w:spacing w:val="2"/>
          <w:sz w:val="24"/>
          <w:szCs w:val="24"/>
          <w:highlight w:val="none"/>
          <w:u w:val="single"/>
          <w:lang w:val="en-US" w:eastAsia="zh-CN"/>
        </w:rPr>
        <w:t xml:space="preserve">        </w:t>
      </w:r>
      <w:r>
        <w:rPr>
          <w:rFonts w:ascii="宋体" w:hAnsi="宋体" w:eastAsia="宋体" w:cs="宋体"/>
          <w:sz w:val="24"/>
          <w:szCs w:val="24"/>
          <w:highlight w:val="none"/>
          <w:u w:val="single" w:color="auto"/>
        </w:rPr>
        <w:tab/>
      </w:r>
      <w:r>
        <w:rPr>
          <w:rFonts w:ascii="宋体" w:hAnsi="宋体" w:eastAsia="宋体" w:cs="宋体"/>
          <w:spacing w:val="-110"/>
          <w:sz w:val="24"/>
          <w:szCs w:val="24"/>
          <w:highlight w:val="none"/>
        </w:rPr>
        <w:t xml:space="preserve"> </w:t>
      </w:r>
      <w:r>
        <w:rPr>
          <w:rFonts w:ascii="宋体" w:hAnsi="宋体" w:eastAsia="宋体" w:cs="宋体"/>
          <w:spacing w:val="-9"/>
          <w:sz w:val="24"/>
          <w:szCs w:val="24"/>
          <w:highlight w:val="none"/>
        </w:rPr>
        <w:t>年</w:t>
      </w:r>
      <w:r>
        <w:rPr>
          <w:rFonts w:ascii="宋体" w:hAnsi="宋体" w:eastAsia="宋体" w:cs="宋体"/>
          <w:spacing w:val="1"/>
          <w:sz w:val="24"/>
          <w:szCs w:val="24"/>
          <w:highlight w:val="none"/>
          <w:u w:val="single" w:color="auto"/>
        </w:rPr>
        <w:t xml:space="preserve">         </w:t>
      </w:r>
      <w:r>
        <w:rPr>
          <w:rFonts w:ascii="宋体" w:hAnsi="宋体" w:eastAsia="宋体" w:cs="宋体"/>
          <w:spacing w:val="-102"/>
          <w:sz w:val="24"/>
          <w:szCs w:val="24"/>
          <w:highlight w:val="none"/>
        </w:rPr>
        <w:t xml:space="preserve"> </w:t>
      </w:r>
      <w:r>
        <w:rPr>
          <w:rFonts w:ascii="宋体" w:hAnsi="宋体" w:eastAsia="宋体" w:cs="宋体"/>
          <w:spacing w:val="-9"/>
          <w:sz w:val="24"/>
          <w:szCs w:val="24"/>
          <w:highlight w:val="none"/>
        </w:rPr>
        <w:t>月</w:t>
      </w:r>
      <w:r>
        <w:rPr>
          <w:rFonts w:ascii="宋体" w:hAnsi="宋体" w:eastAsia="宋体" w:cs="宋体"/>
          <w:spacing w:val="1"/>
          <w:sz w:val="24"/>
          <w:szCs w:val="24"/>
          <w:highlight w:val="none"/>
          <w:u w:val="single" w:color="auto"/>
        </w:rPr>
        <w:t xml:space="preserve">         </w:t>
      </w:r>
      <w:r>
        <w:rPr>
          <w:rFonts w:ascii="宋体" w:hAnsi="宋体" w:eastAsia="宋体" w:cs="宋体"/>
          <w:spacing w:val="-68"/>
          <w:sz w:val="24"/>
          <w:szCs w:val="24"/>
          <w:highlight w:val="none"/>
        </w:rPr>
        <w:t xml:space="preserve"> </w:t>
      </w:r>
      <w:r>
        <w:rPr>
          <w:rFonts w:ascii="宋体" w:hAnsi="宋体" w:eastAsia="宋体" w:cs="宋体"/>
          <w:spacing w:val="-9"/>
          <w:sz w:val="24"/>
          <w:szCs w:val="24"/>
          <w:highlight w:val="none"/>
        </w:rPr>
        <w:t>日</w:t>
      </w:r>
    </w:p>
    <w:p w14:paraId="669DC271">
      <w:pPr>
        <w:rPr>
          <w:rFonts w:ascii="宋体" w:hAnsi="宋体" w:eastAsia="宋体" w:cs="宋体"/>
          <w:spacing w:val="-9"/>
          <w:sz w:val="24"/>
          <w:szCs w:val="24"/>
          <w:highlight w:val="none"/>
        </w:rPr>
      </w:pPr>
      <w:r>
        <w:rPr>
          <w:rFonts w:ascii="宋体" w:hAnsi="宋体" w:eastAsia="宋体" w:cs="宋体"/>
          <w:spacing w:val="-9"/>
          <w:sz w:val="24"/>
          <w:szCs w:val="24"/>
          <w:highlight w:val="none"/>
        </w:rPr>
        <w:br w:type="page"/>
      </w:r>
    </w:p>
    <w:p w14:paraId="52CE8B06">
      <w:pPr>
        <w:spacing w:before="91" w:line="219" w:lineRule="auto"/>
        <w:ind w:left="146"/>
        <w:rPr>
          <w:rFonts w:ascii="宋体" w:hAnsi="宋体" w:eastAsia="宋体" w:cs="宋体"/>
          <w:sz w:val="28"/>
          <w:szCs w:val="28"/>
          <w:highlight w:val="none"/>
        </w:rPr>
      </w:pPr>
      <w:r>
        <w:rPr>
          <w:rFonts w:ascii="宋体" w:hAnsi="宋体" w:eastAsia="宋体" w:cs="宋体"/>
          <w:b/>
          <w:bCs/>
          <w:spacing w:val="-5"/>
          <w:sz w:val="28"/>
          <w:szCs w:val="28"/>
          <w:highlight w:val="none"/>
        </w:rPr>
        <w:t>附表</w:t>
      </w:r>
      <w:r>
        <w:rPr>
          <w:rFonts w:ascii="宋体" w:hAnsi="宋体" w:eastAsia="宋体" w:cs="宋体"/>
          <w:spacing w:val="-50"/>
          <w:sz w:val="28"/>
          <w:szCs w:val="28"/>
          <w:highlight w:val="none"/>
        </w:rPr>
        <w:t xml:space="preserve"> </w:t>
      </w:r>
      <w:r>
        <w:rPr>
          <w:rFonts w:ascii="宋体" w:hAnsi="宋体" w:eastAsia="宋体" w:cs="宋体"/>
          <w:b/>
          <w:bCs/>
          <w:spacing w:val="-5"/>
          <w:sz w:val="28"/>
          <w:szCs w:val="28"/>
          <w:highlight w:val="none"/>
        </w:rPr>
        <w:t>2：项目负责人简历表</w:t>
      </w:r>
    </w:p>
    <w:p w14:paraId="1FCAFB64">
      <w:pPr>
        <w:spacing w:line="119" w:lineRule="exact"/>
        <w:rPr>
          <w:highlight w:val="none"/>
        </w:rPr>
      </w:pPr>
    </w:p>
    <w:tbl>
      <w:tblPr>
        <w:tblStyle w:val="58"/>
        <w:tblW w:w="934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00"/>
        <w:gridCol w:w="484"/>
        <w:gridCol w:w="523"/>
        <w:gridCol w:w="485"/>
        <w:gridCol w:w="624"/>
        <w:gridCol w:w="684"/>
        <w:gridCol w:w="568"/>
        <w:gridCol w:w="1492"/>
        <w:gridCol w:w="374"/>
        <w:gridCol w:w="192"/>
        <w:gridCol w:w="1308"/>
        <w:gridCol w:w="1108"/>
      </w:tblGrid>
      <w:tr w14:paraId="3562CF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1984" w:type="dxa"/>
            <w:gridSpan w:val="2"/>
            <w:vAlign w:val="top"/>
          </w:tcPr>
          <w:p w14:paraId="1AA3E70B">
            <w:pPr>
              <w:pStyle w:val="68"/>
              <w:spacing w:before="129" w:line="220" w:lineRule="auto"/>
              <w:ind w:left="755"/>
              <w:rPr>
                <w:sz w:val="24"/>
                <w:szCs w:val="24"/>
                <w:highlight w:val="none"/>
              </w:rPr>
            </w:pPr>
            <w:r>
              <w:rPr>
                <w:spacing w:val="-2"/>
                <w:sz w:val="24"/>
                <w:szCs w:val="24"/>
                <w:highlight w:val="none"/>
              </w:rPr>
              <w:t>姓名</w:t>
            </w:r>
          </w:p>
        </w:tc>
        <w:tc>
          <w:tcPr>
            <w:tcW w:w="1632" w:type="dxa"/>
            <w:gridSpan w:val="3"/>
            <w:vAlign w:val="top"/>
          </w:tcPr>
          <w:p w14:paraId="6D7670AA">
            <w:pPr>
              <w:rPr>
                <w:rFonts w:ascii="Arial"/>
                <w:sz w:val="21"/>
                <w:highlight w:val="none"/>
              </w:rPr>
            </w:pPr>
          </w:p>
        </w:tc>
        <w:tc>
          <w:tcPr>
            <w:tcW w:w="1252" w:type="dxa"/>
            <w:gridSpan w:val="2"/>
            <w:vAlign w:val="top"/>
          </w:tcPr>
          <w:p w14:paraId="619F8187">
            <w:pPr>
              <w:pStyle w:val="68"/>
              <w:spacing w:before="129" w:line="220" w:lineRule="auto"/>
              <w:ind w:left="388"/>
              <w:rPr>
                <w:sz w:val="24"/>
                <w:szCs w:val="24"/>
                <w:highlight w:val="none"/>
              </w:rPr>
            </w:pPr>
            <w:r>
              <w:rPr>
                <w:spacing w:val="-2"/>
                <w:sz w:val="24"/>
                <w:szCs w:val="24"/>
                <w:highlight w:val="none"/>
              </w:rPr>
              <w:t>年龄</w:t>
            </w:r>
          </w:p>
        </w:tc>
        <w:tc>
          <w:tcPr>
            <w:tcW w:w="1492" w:type="dxa"/>
            <w:vAlign w:val="top"/>
          </w:tcPr>
          <w:p w14:paraId="463B1264">
            <w:pPr>
              <w:rPr>
                <w:rFonts w:ascii="Arial"/>
                <w:sz w:val="21"/>
                <w:highlight w:val="none"/>
              </w:rPr>
            </w:pPr>
          </w:p>
        </w:tc>
        <w:tc>
          <w:tcPr>
            <w:tcW w:w="1874" w:type="dxa"/>
            <w:gridSpan w:val="3"/>
            <w:vAlign w:val="top"/>
          </w:tcPr>
          <w:p w14:paraId="1AAAE60A">
            <w:pPr>
              <w:pStyle w:val="68"/>
              <w:spacing w:before="129" w:line="222" w:lineRule="auto"/>
              <w:ind w:left="702"/>
              <w:rPr>
                <w:sz w:val="24"/>
                <w:szCs w:val="24"/>
                <w:highlight w:val="none"/>
              </w:rPr>
            </w:pPr>
            <w:r>
              <w:rPr>
                <w:spacing w:val="-2"/>
                <w:sz w:val="24"/>
                <w:szCs w:val="24"/>
                <w:highlight w:val="none"/>
              </w:rPr>
              <w:t>职称</w:t>
            </w:r>
          </w:p>
        </w:tc>
        <w:tc>
          <w:tcPr>
            <w:tcW w:w="1108" w:type="dxa"/>
            <w:vAlign w:val="top"/>
          </w:tcPr>
          <w:p w14:paraId="6C251F0D">
            <w:pPr>
              <w:rPr>
                <w:rFonts w:ascii="Arial"/>
                <w:sz w:val="21"/>
                <w:highlight w:val="none"/>
              </w:rPr>
            </w:pPr>
          </w:p>
        </w:tc>
      </w:tr>
      <w:tr w14:paraId="69936A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1984" w:type="dxa"/>
            <w:gridSpan w:val="2"/>
            <w:vAlign w:val="top"/>
          </w:tcPr>
          <w:p w14:paraId="28D79E7B">
            <w:pPr>
              <w:pStyle w:val="68"/>
              <w:spacing w:before="134" w:line="220" w:lineRule="auto"/>
              <w:ind w:left="156"/>
              <w:rPr>
                <w:sz w:val="24"/>
                <w:szCs w:val="24"/>
                <w:highlight w:val="none"/>
              </w:rPr>
            </w:pPr>
            <w:r>
              <w:rPr>
                <w:spacing w:val="-1"/>
                <w:sz w:val="24"/>
                <w:szCs w:val="24"/>
                <w:highlight w:val="none"/>
              </w:rPr>
              <w:t>毕业时间及院校</w:t>
            </w:r>
          </w:p>
        </w:tc>
        <w:tc>
          <w:tcPr>
            <w:tcW w:w="1632" w:type="dxa"/>
            <w:gridSpan w:val="3"/>
            <w:vAlign w:val="top"/>
          </w:tcPr>
          <w:p w14:paraId="67D1B8C3">
            <w:pPr>
              <w:rPr>
                <w:rFonts w:ascii="Arial"/>
                <w:sz w:val="21"/>
                <w:highlight w:val="none"/>
              </w:rPr>
            </w:pPr>
          </w:p>
        </w:tc>
        <w:tc>
          <w:tcPr>
            <w:tcW w:w="1252" w:type="dxa"/>
            <w:gridSpan w:val="2"/>
            <w:vAlign w:val="top"/>
          </w:tcPr>
          <w:p w14:paraId="716DEE91">
            <w:pPr>
              <w:pStyle w:val="68"/>
              <w:spacing w:before="135" w:line="220" w:lineRule="auto"/>
              <w:ind w:left="145"/>
              <w:rPr>
                <w:sz w:val="24"/>
                <w:szCs w:val="24"/>
                <w:highlight w:val="none"/>
              </w:rPr>
            </w:pPr>
            <w:r>
              <w:rPr>
                <w:spacing w:val="-2"/>
                <w:sz w:val="24"/>
                <w:szCs w:val="24"/>
                <w:highlight w:val="none"/>
              </w:rPr>
              <w:t>所学专业</w:t>
            </w:r>
          </w:p>
        </w:tc>
        <w:tc>
          <w:tcPr>
            <w:tcW w:w="1492" w:type="dxa"/>
            <w:vAlign w:val="top"/>
          </w:tcPr>
          <w:p w14:paraId="7C3193A1">
            <w:pPr>
              <w:rPr>
                <w:rFonts w:ascii="Arial"/>
                <w:sz w:val="21"/>
                <w:highlight w:val="none"/>
              </w:rPr>
            </w:pPr>
          </w:p>
        </w:tc>
        <w:tc>
          <w:tcPr>
            <w:tcW w:w="1874" w:type="dxa"/>
            <w:gridSpan w:val="3"/>
            <w:vAlign w:val="top"/>
          </w:tcPr>
          <w:p w14:paraId="17DDD8E1">
            <w:pPr>
              <w:pStyle w:val="68"/>
              <w:spacing w:before="134" w:line="220" w:lineRule="auto"/>
              <w:ind w:left="222"/>
              <w:rPr>
                <w:sz w:val="24"/>
                <w:szCs w:val="24"/>
                <w:highlight w:val="none"/>
              </w:rPr>
            </w:pPr>
            <w:r>
              <w:rPr>
                <w:spacing w:val="-1"/>
                <w:sz w:val="24"/>
                <w:szCs w:val="24"/>
                <w:highlight w:val="none"/>
              </w:rPr>
              <w:t>从事工作年限</w:t>
            </w:r>
          </w:p>
        </w:tc>
        <w:tc>
          <w:tcPr>
            <w:tcW w:w="1108" w:type="dxa"/>
            <w:vAlign w:val="top"/>
          </w:tcPr>
          <w:p w14:paraId="1552338A">
            <w:pPr>
              <w:rPr>
                <w:rFonts w:ascii="Arial"/>
                <w:sz w:val="21"/>
                <w:highlight w:val="none"/>
              </w:rPr>
            </w:pPr>
          </w:p>
        </w:tc>
      </w:tr>
      <w:tr w14:paraId="4ACB86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1984" w:type="dxa"/>
            <w:gridSpan w:val="2"/>
            <w:vAlign w:val="top"/>
          </w:tcPr>
          <w:p w14:paraId="4344FFD8">
            <w:pPr>
              <w:pStyle w:val="68"/>
              <w:spacing w:before="135" w:line="220" w:lineRule="auto"/>
              <w:ind w:left="757"/>
              <w:rPr>
                <w:sz w:val="24"/>
                <w:szCs w:val="24"/>
                <w:highlight w:val="none"/>
              </w:rPr>
            </w:pPr>
            <w:r>
              <w:rPr>
                <w:spacing w:val="-3"/>
                <w:sz w:val="24"/>
                <w:szCs w:val="24"/>
                <w:highlight w:val="none"/>
              </w:rPr>
              <w:t>等级</w:t>
            </w:r>
          </w:p>
        </w:tc>
        <w:tc>
          <w:tcPr>
            <w:tcW w:w="7358" w:type="dxa"/>
            <w:gridSpan w:val="10"/>
            <w:vAlign w:val="top"/>
          </w:tcPr>
          <w:p w14:paraId="148FD692">
            <w:pPr>
              <w:rPr>
                <w:rFonts w:ascii="Arial"/>
                <w:sz w:val="21"/>
                <w:highlight w:val="none"/>
              </w:rPr>
            </w:pPr>
          </w:p>
        </w:tc>
      </w:tr>
      <w:tr w14:paraId="50307F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9342" w:type="dxa"/>
            <w:gridSpan w:val="12"/>
            <w:vAlign w:val="top"/>
          </w:tcPr>
          <w:p w14:paraId="0D3B4625">
            <w:pPr>
              <w:pStyle w:val="68"/>
              <w:spacing w:before="124" w:line="220" w:lineRule="auto"/>
              <w:ind w:left="3591"/>
              <w:rPr>
                <w:sz w:val="24"/>
                <w:szCs w:val="24"/>
                <w:highlight w:val="none"/>
              </w:rPr>
            </w:pPr>
            <w:r>
              <w:rPr>
                <w:sz w:val="24"/>
                <w:szCs w:val="24"/>
                <w:highlight w:val="none"/>
              </w:rPr>
              <w:t>从事工作的主要经历</w:t>
            </w:r>
          </w:p>
        </w:tc>
      </w:tr>
      <w:tr w14:paraId="3D582C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507" w:type="dxa"/>
            <w:gridSpan w:val="3"/>
            <w:vAlign w:val="top"/>
          </w:tcPr>
          <w:p w14:paraId="522BD77F">
            <w:pPr>
              <w:pStyle w:val="68"/>
              <w:spacing w:before="135" w:line="220" w:lineRule="auto"/>
              <w:ind w:left="184"/>
              <w:rPr>
                <w:sz w:val="24"/>
                <w:szCs w:val="24"/>
                <w:highlight w:val="none"/>
              </w:rPr>
            </w:pPr>
            <w:r>
              <w:rPr>
                <w:spacing w:val="-3"/>
                <w:sz w:val="24"/>
                <w:szCs w:val="24"/>
                <w:highlight w:val="none"/>
              </w:rPr>
              <w:t>时间（年— —</w:t>
            </w:r>
            <w:r>
              <w:rPr>
                <w:spacing w:val="15"/>
                <w:sz w:val="24"/>
                <w:szCs w:val="24"/>
                <w:highlight w:val="none"/>
              </w:rPr>
              <w:t xml:space="preserve"> </w:t>
            </w:r>
            <w:r>
              <w:rPr>
                <w:spacing w:val="-3"/>
                <w:sz w:val="24"/>
                <w:szCs w:val="24"/>
                <w:highlight w:val="none"/>
              </w:rPr>
              <w:t>年）</w:t>
            </w:r>
          </w:p>
        </w:tc>
        <w:tc>
          <w:tcPr>
            <w:tcW w:w="1793" w:type="dxa"/>
            <w:gridSpan w:val="3"/>
            <w:vAlign w:val="top"/>
          </w:tcPr>
          <w:p w14:paraId="112A546F">
            <w:pPr>
              <w:pStyle w:val="68"/>
              <w:spacing w:before="136" w:line="220" w:lineRule="auto"/>
              <w:ind w:left="422"/>
              <w:rPr>
                <w:sz w:val="24"/>
                <w:szCs w:val="24"/>
                <w:highlight w:val="none"/>
              </w:rPr>
            </w:pPr>
            <w:r>
              <w:rPr>
                <w:spacing w:val="-2"/>
                <w:sz w:val="24"/>
                <w:szCs w:val="24"/>
                <w:highlight w:val="none"/>
              </w:rPr>
              <w:t>工作单位</w:t>
            </w:r>
          </w:p>
        </w:tc>
        <w:tc>
          <w:tcPr>
            <w:tcW w:w="2434" w:type="dxa"/>
            <w:gridSpan w:val="3"/>
            <w:vAlign w:val="top"/>
          </w:tcPr>
          <w:p w14:paraId="150A565F">
            <w:pPr>
              <w:pStyle w:val="68"/>
              <w:spacing w:before="136" w:line="220" w:lineRule="auto"/>
              <w:ind w:left="501"/>
              <w:rPr>
                <w:sz w:val="24"/>
                <w:szCs w:val="24"/>
                <w:highlight w:val="none"/>
              </w:rPr>
            </w:pPr>
            <w:r>
              <w:rPr>
                <w:spacing w:val="-1"/>
                <w:sz w:val="24"/>
                <w:szCs w:val="24"/>
                <w:highlight w:val="none"/>
              </w:rPr>
              <w:t>从事何种工作</w:t>
            </w:r>
          </w:p>
        </w:tc>
        <w:tc>
          <w:tcPr>
            <w:tcW w:w="2608" w:type="dxa"/>
            <w:gridSpan w:val="3"/>
            <w:vAlign w:val="top"/>
          </w:tcPr>
          <w:p w14:paraId="09A1138A">
            <w:pPr>
              <w:pStyle w:val="68"/>
              <w:spacing w:before="135" w:line="220" w:lineRule="auto"/>
              <w:ind w:left="825"/>
              <w:rPr>
                <w:sz w:val="24"/>
                <w:szCs w:val="24"/>
                <w:highlight w:val="none"/>
              </w:rPr>
            </w:pPr>
            <w:r>
              <w:rPr>
                <w:spacing w:val="-2"/>
                <w:sz w:val="24"/>
                <w:szCs w:val="24"/>
                <w:highlight w:val="none"/>
              </w:rPr>
              <w:t>职称职务</w:t>
            </w:r>
          </w:p>
        </w:tc>
      </w:tr>
      <w:tr w14:paraId="5FB2EC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1" w:hRule="atLeast"/>
        </w:trPr>
        <w:tc>
          <w:tcPr>
            <w:tcW w:w="2507" w:type="dxa"/>
            <w:gridSpan w:val="3"/>
            <w:vAlign w:val="top"/>
          </w:tcPr>
          <w:p w14:paraId="68E89EB4">
            <w:pPr>
              <w:rPr>
                <w:rFonts w:ascii="Arial"/>
                <w:sz w:val="21"/>
                <w:highlight w:val="none"/>
              </w:rPr>
            </w:pPr>
          </w:p>
        </w:tc>
        <w:tc>
          <w:tcPr>
            <w:tcW w:w="1793" w:type="dxa"/>
            <w:gridSpan w:val="3"/>
            <w:vAlign w:val="top"/>
          </w:tcPr>
          <w:p w14:paraId="6FC3C945">
            <w:pPr>
              <w:rPr>
                <w:rFonts w:ascii="Arial"/>
                <w:sz w:val="21"/>
                <w:highlight w:val="none"/>
              </w:rPr>
            </w:pPr>
          </w:p>
        </w:tc>
        <w:tc>
          <w:tcPr>
            <w:tcW w:w="2434" w:type="dxa"/>
            <w:gridSpan w:val="3"/>
            <w:vAlign w:val="top"/>
          </w:tcPr>
          <w:p w14:paraId="232EB175">
            <w:pPr>
              <w:rPr>
                <w:rFonts w:ascii="Arial"/>
                <w:sz w:val="21"/>
                <w:highlight w:val="none"/>
              </w:rPr>
            </w:pPr>
          </w:p>
        </w:tc>
        <w:tc>
          <w:tcPr>
            <w:tcW w:w="2608" w:type="dxa"/>
            <w:gridSpan w:val="3"/>
            <w:vAlign w:val="top"/>
          </w:tcPr>
          <w:p w14:paraId="7E48A736">
            <w:pPr>
              <w:rPr>
                <w:rFonts w:ascii="Arial"/>
                <w:sz w:val="21"/>
                <w:highlight w:val="none"/>
              </w:rPr>
            </w:pPr>
          </w:p>
        </w:tc>
      </w:tr>
      <w:tr w14:paraId="361B59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507" w:type="dxa"/>
            <w:gridSpan w:val="3"/>
            <w:vAlign w:val="top"/>
          </w:tcPr>
          <w:p w14:paraId="284245E4">
            <w:pPr>
              <w:rPr>
                <w:rFonts w:ascii="Arial"/>
                <w:sz w:val="21"/>
                <w:highlight w:val="none"/>
              </w:rPr>
            </w:pPr>
          </w:p>
        </w:tc>
        <w:tc>
          <w:tcPr>
            <w:tcW w:w="1793" w:type="dxa"/>
            <w:gridSpan w:val="3"/>
            <w:vAlign w:val="top"/>
          </w:tcPr>
          <w:p w14:paraId="6957AFA6">
            <w:pPr>
              <w:rPr>
                <w:rFonts w:ascii="Arial"/>
                <w:sz w:val="21"/>
                <w:highlight w:val="none"/>
              </w:rPr>
            </w:pPr>
          </w:p>
        </w:tc>
        <w:tc>
          <w:tcPr>
            <w:tcW w:w="2434" w:type="dxa"/>
            <w:gridSpan w:val="3"/>
            <w:vAlign w:val="top"/>
          </w:tcPr>
          <w:p w14:paraId="2BAE8F12">
            <w:pPr>
              <w:rPr>
                <w:rFonts w:ascii="Arial"/>
                <w:sz w:val="21"/>
                <w:highlight w:val="none"/>
              </w:rPr>
            </w:pPr>
          </w:p>
        </w:tc>
        <w:tc>
          <w:tcPr>
            <w:tcW w:w="2608" w:type="dxa"/>
            <w:gridSpan w:val="3"/>
            <w:vAlign w:val="top"/>
          </w:tcPr>
          <w:p w14:paraId="055058AE">
            <w:pPr>
              <w:rPr>
                <w:rFonts w:ascii="Arial"/>
                <w:sz w:val="21"/>
                <w:highlight w:val="none"/>
              </w:rPr>
            </w:pPr>
          </w:p>
        </w:tc>
      </w:tr>
      <w:tr w14:paraId="417F54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507" w:type="dxa"/>
            <w:gridSpan w:val="3"/>
            <w:vAlign w:val="top"/>
          </w:tcPr>
          <w:p w14:paraId="2A5A8678">
            <w:pPr>
              <w:rPr>
                <w:rFonts w:ascii="Arial"/>
                <w:sz w:val="21"/>
                <w:highlight w:val="none"/>
              </w:rPr>
            </w:pPr>
          </w:p>
        </w:tc>
        <w:tc>
          <w:tcPr>
            <w:tcW w:w="1793" w:type="dxa"/>
            <w:gridSpan w:val="3"/>
            <w:vAlign w:val="top"/>
          </w:tcPr>
          <w:p w14:paraId="04C9D09A">
            <w:pPr>
              <w:rPr>
                <w:rFonts w:ascii="Arial"/>
                <w:sz w:val="21"/>
                <w:highlight w:val="none"/>
              </w:rPr>
            </w:pPr>
          </w:p>
        </w:tc>
        <w:tc>
          <w:tcPr>
            <w:tcW w:w="2434" w:type="dxa"/>
            <w:gridSpan w:val="3"/>
            <w:vAlign w:val="top"/>
          </w:tcPr>
          <w:p w14:paraId="23EBA900">
            <w:pPr>
              <w:rPr>
                <w:rFonts w:ascii="Arial"/>
                <w:sz w:val="21"/>
                <w:highlight w:val="none"/>
              </w:rPr>
            </w:pPr>
          </w:p>
        </w:tc>
        <w:tc>
          <w:tcPr>
            <w:tcW w:w="2608" w:type="dxa"/>
            <w:gridSpan w:val="3"/>
            <w:vAlign w:val="top"/>
          </w:tcPr>
          <w:p w14:paraId="52A9B42C">
            <w:pPr>
              <w:rPr>
                <w:rFonts w:ascii="Arial"/>
                <w:sz w:val="21"/>
                <w:highlight w:val="none"/>
              </w:rPr>
            </w:pPr>
          </w:p>
        </w:tc>
      </w:tr>
      <w:tr w14:paraId="061813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9342" w:type="dxa"/>
            <w:gridSpan w:val="12"/>
            <w:vAlign w:val="top"/>
          </w:tcPr>
          <w:p w14:paraId="0735DA91">
            <w:pPr>
              <w:pStyle w:val="68"/>
              <w:spacing w:before="137" w:line="220" w:lineRule="auto"/>
              <w:ind w:left="3077"/>
              <w:rPr>
                <w:sz w:val="24"/>
                <w:szCs w:val="24"/>
                <w:highlight w:val="none"/>
              </w:rPr>
            </w:pPr>
            <w:r>
              <w:rPr>
                <w:spacing w:val="-1"/>
                <w:sz w:val="24"/>
                <w:szCs w:val="24"/>
                <w:highlight w:val="none"/>
              </w:rPr>
              <w:t>已完成的项目情况</w:t>
            </w:r>
          </w:p>
        </w:tc>
      </w:tr>
      <w:tr w14:paraId="4D4E1C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1500" w:type="dxa"/>
            <w:vAlign w:val="top"/>
          </w:tcPr>
          <w:p w14:paraId="3AB835B9">
            <w:pPr>
              <w:pStyle w:val="68"/>
              <w:spacing w:before="137" w:line="219" w:lineRule="auto"/>
              <w:ind w:left="150"/>
              <w:rPr>
                <w:sz w:val="24"/>
                <w:szCs w:val="24"/>
                <w:highlight w:val="none"/>
              </w:rPr>
            </w:pPr>
            <w:r>
              <w:rPr>
                <w:spacing w:val="-1"/>
                <w:sz w:val="24"/>
                <w:szCs w:val="24"/>
                <w:highlight w:val="none"/>
              </w:rPr>
              <w:t>采购人名称</w:t>
            </w:r>
          </w:p>
        </w:tc>
        <w:tc>
          <w:tcPr>
            <w:tcW w:w="1492" w:type="dxa"/>
            <w:gridSpan w:val="3"/>
            <w:vAlign w:val="top"/>
          </w:tcPr>
          <w:p w14:paraId="31224625">
            <w:pPr>
              <w:pStyle w:val="68"/>
              <w:spacing w:before="138" w:line="220" w:lineRule="auto"/>
              <w:ind w:left="270"/>
              <w:rPr>
                <w:sz w:val="24"/>
                <w:szCs w:val="24"/>
                <w:highlight w:val="none"/>
              </w:rPr>
            </w:pPr>
            <w:r>
              <w:rPr>
                <w:spacing w:val="-3"/>
                <w:sz w:val="24"/>
                <w:szCs w:val="24"/>
                <w:highlight w:val="none"/>
              </w:rPr>
              <w:t>项目名称</w:t>
            </w:r>
          </w:p>
        </w:tc>
        <w:tc>
          <w:tcPr>
            <w:tcW w:w="1876" w:type="dxa"/>
            <w:gridSpan w:val="3"/>
            <w:vAlign w:val="top"/>
          </w:tcPr>
          <w:p w14:paraId="4EEE9582">
            <w:pPr>
              <w:pStyle w:val="68"/>
              <w:spacing w:before="137" w:line="220" w:lineRule="auto"/>
              <w:ind w:left="700"/>
              <w:rPr>
                <w:sz w:val="24"/>
                <w:szCs w:val="24"/>
                <w:highlight w:val="none"/>
              </w:rPr>
            </w:pPr>
            <w:r>
              <w:rPr>
                <w:spacing w:val="-2"/>
                <w:sz w:val="24"/>
                <w:szCs w:val="24"/>
                <w:highlight w:val="none"/>
              </w:rPr>
              <w:t>规模</w:t>
            </w:r>
          </w:p>
        </w:tc>
        <w:tc>
          <w:tcPr>
            <w:tcW w:w="2058" w:type="dxa"/>
            <w:gridSpan w:val="3"/>
            <w:vAlign w:val="top"/>
          </w:tcPr>
          <w:p w14:paraId="6DCBC45F">
            <w:pPr>
              <w:pStyle w:val="68"/>
              <w:spacing w:before="138" w:line="220" w:lineRule="auto"/>
              <w:ind w:left="550"/>
              <w:rPr>
                <w:sz w:val="24"/>
                <w:szCs w:val="24"/>
                <w:highlight w:val="none"/>
              </w:rPr>
            </w:pPr>
            <w:r>
              <w:rPr>
                <w:spacing w:val="-2"/>
                <w:sz w:val="24"/>
                <w:szCs w:val="24"/>
                <w:highlight w:val="none"/>
              </w:rPr>
              <w:t>起止时间</w:t>
            </w:r>
          </w:p>
        </w:tc>
        <w:tc>
          <w:tcPr>
            <w:tcW w:w="2416" w:type="dxa"/>
            <w:gridSpan w:val="2"/>
            <w:vAlign w:val="top"/>
          </w:tcPr>
          <w:p w14:paraId="2CD0EC88">
            <w:pPr>
              <w:pStyle w:val="68"/>
              <w:spacing w:before="138" w:line="220" w:lineRule="auto"/>
              <w:ind w:left="969"/>
              <w:rPr>
                <w:sz w:val="24"/>
                <w:szCs w:val="24"/>
                <w:highlight w:val="none"/>
              </w:rPr>
            </w:pPr>
            <w:r>
              <w:rPr>
                <w:spacing w:val="-2"/>
                <w:sz w:val="24"/>
                <w:szCs w:val="24"/>
                <w:highlight w:val="none"/>
              </w:rPr>
              <w:t>质量</w:t>
            </w:r>
          </w:p>
        </w:tc>
      </w:tr>
      <w:tr w14:paraId="0D54FA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1500" w:type="dxa"/>
            <w:vAlign w:val="top"/>
          </w:tcPr>
          <w:p w14:paraId="77D6306B">
            <w:pPr>
              <w:rPr>
                <w:rFonts w:ascii="Arial"/>
                <w:sz w:val="21"/>
                <w:highlight w:val="none"/>
              </w:rPr>
            </w:pPr>
          </w:p>
        </w:tc>
        <w:tc>
          <w:tcPr>
            <w:tcW w:w="1492" w:type="dxa"/>
            <w:gridSpan w:val="3"/>
            <w:vAlign w:val="top"/>
          </w:tcPr>
          <w:p w14:paraId="14DD69E4">
            <w:pPr>
              <w:rPr>
                <w:rFonts w:ascii="Arial"/>
                <w:sz w:val="21"/>
                <w:highlight w:val="none"/>
              </w:rPr>
            </w:pPr>
          </w:p>
        </w:tc>
        <w:tc>
          <w:tcPr>
            <w:tcW w:w="1876" w:type="dxa"/>
            <w:gridSpan w:val="3"/>
            <w:vAlign w:val="top"/>
          </w:tcPr>
          <w:p w14:paraId="1D53EDF2">
            <w:pPr>
              <w:rPr>
                <w:rFonts w:ascii="Arial"/>
                <w:sz w:val="21"/>
                <w:highlight w:val="none"/>
              </w:rPr>
            </w:pPr>
          </w:p>
        </w:tc>
        <w:tc>
          <w:tcPr>
            <w:tcW w:w="2058" w:type="dxa"/>
            <w:gridSpan w:val="3"/>
            <w:vAlign w:val="top"/>
          </w:tcPr>
          <w:p w14:paraId="2A7CCFB9">
            <w:pPr>
              <w:rPr>
                <w:rFonts w:ascii="Arial"/>
                <w:sz w:val="21"/>
                <w:highlight w:val="none"/>
              </w:rPr>
            </w:pPr>
          </w:p>
        </w:tc>
        <w:tc>
          <w:tcPr>
            <w:tcW w:w="2416" w:type="dxa"/>
            <w:gridSpan w:val="2"/>
            <w:vAlign w:val="top"/>
          </w:tcPr>
          <w:p w14:paraId="7D4FBA35">
            <w:pPr>
              <w:rPr>
                <w:rFonts w:ascii="Arial"/>
                <w:sz w:val="21"/>
                <w:highlight w:val="none"/>
              </w:rPr>
            </w:pPr>
          </w:p>
        </w:tc>
      </w:tr>
      <w:tr w14:paraId="033639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1500" w:type="dxa"/>
            <w:vAlign w:val="top"/>
          </w:tcPr>
          <w:p w14:paraId="00C9498E">
            <w:pPr>
              <w:rPr>
                <w:rFonts w:ascii="Arial"/>
                <w:sz w:val="21"/>
                <w:highlight w:val="none"/>
              </w:rPr>
            </w:pPr>
          </w:p>
        </w:tc>
        <w:tc>
          <w:tcPr>
            <w:tcW w:w="1492" w:type="dxa"/>
            <w:gridSpan w:val="3"/>
            <w:vAlign w:val="top"/>
          </w:tcPr>
          <w:p w14:paraId="5CB47DA2">
            <w:pPr>
              <w:rPr>
                <w:rFonts w:ascii="Arial"/>
                <w:sz w:val="21"/>
                <w:highlight w:val="none"/>
              </w:rPr>
            </w:pPr>
          </w:p>
        </w:tc>
        <w:tc>
          <w:tcPr>
            <w:tcW w:w="1876" w:type="dxa"/>
            <w:gridSpan w:val="3"/>
            <w:vAlign w:val="top"/>
          </w:tcPr>
          <w:p w14:paraId="735238F9">
            <w:pPr>
              <w:rPr>
                <w:rFonts w:ascii="Arial"/>
                <w:sz w:val="21"/>
                <w:highlight w:val="none"/>
              </w:rPr>
            </w:pPr>
          </w:p>
        </w:tc>
        <w:tc>
          <w:tcPr>
            <w:tcW w:w="2058" w:type="dxa"/>
            <w:gridSpan w:val="3"/>
            <w:vAlign w:val="top"/>
          </w:tcPr>
          <w:p w14:paraId="57B4F1A3">
            <w:pPr>
              <w:rPr>
                <w:rFonts w:ascii="Arial"/>
                <w:sz w:val="21"/>
                <w:highlight w:val="none"/>
              </w:rPr>
            </w:pPr>
          </w:p>
        </w:tc>
        <w:tc>
          <w:tcPr>
            <w:tcW w:w="2416" w:type="dxa"/>
            <w:gridSpan w:val="2"/>
            <w:vAlign w:val="top"/>
          </w:tcPr>
          <w:p w14:paraId="2E48E187">
            <w:pPr>
              <w:rPr>
                <w:rFonts w:ascii="Arial"/>
                <w:sz w:val="21"/>
                <w:highlight w:val="none"/>
              </w:rPr>
            </w:pPr>
          </w:p>
        </w:tc>
      </w:tr>
      <w:tr w14:paraId="5CEEF6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1500" w:type="dxa"/>
            <w:vAlign w:val="top"/>
          </w:tcPr>
          <w:p w14:paraId="090EEA63">
            <w:pPr>
              <w:rPr>
                <w:rFonts w:ascii="Arial"/>
                <w:sz w:val="21"/>
                <w:highlight w:val="none"/>
              </w:rPr>
            </w:pPr>
          </w:p>
        </w:tc>
        <w:tc>
          <w:tcPr>
            <w:tcW w:w="1492" w:type="dxa"/>
            <w:gridSpan w:val="3"/>
            <w:vAlign w:val="top"/>
          </w:tcPr>
          <w:p w14:paraId="0AB300E4">
            <w:pPr>
              <w:rPr>
                <w:rFonts w:ascii="Arial"/>
                <w:sz w:val="21"/>
                <w:highlight w:val="none"/>
              </w:rPr>
            </w:pPr>
          </w:p>
        </w:tc>
        <w:tc>
          <w:tcPr>
            <w:tcW w:w="1876" w:type="dxa"/>
            <w:gridSpan w:val="3"/>
            <w:vAlign w:val="top"/>
          </w:tcPr>
          <w:p w14:paraId="6B337568">
            <w:pPr>
              <w:rPr>
                <w:rFonts w:ascii="Arial"/>
                <w:sz w:val="21"/>
                <w:highlight w:val="none"/>
              </w:rPr>
            </w:pPr>
          </w:p>
        </w:tc>
        <w:tc>
          <w:tcPr>
            <w:tcW w:w="2058" w:type="dxa"/>
            <w:gridSpan w:val="3"/>
            <w:vAlign w:val="top"/>
          </w:tcPr>
          <w:p w14:paraId="0B9652F7">
            <w:pPr>
              <w:rPr>
                <w:rFonts w:ascii="Arial"/>
                <w:sz w:val="21"/>
                <w:highlight w:val="none"/>
              </w:rPr>
            </w:pPr>
          </w:p>
        </w:tc>
        <w:tc>
          <w:tcPr>
            <w:tcW w:w="2416" w:type="dxa"/>
            <w:gridSpan w:val="2"/>
            <w:vAlign w:val="top"/>
          </w:tcPr>
          <w:p w14:paraId="73AA91A4">
            <w:pPr>
              <w:rPr>
                <w:rFonts w:ascii="Arial"/>
                <w:sz w:val="21"/>
                <w:highlight w:val="none"/>
              </w:rPr>
            </w:pPr>
          </w:p>
        </w:tc>
      </w:tr>
      <w:tr w14:paraId="25EAB7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1500" w:type="dxa"/>
            <w:vAlign w:val="top"/>
          </w:tcPr>
          <w:p w14:paraId="50D6E8A1">
            <w:pPr>
              <w:rPr>
                <w:rFonts w:ascii="Arial"/>
                <w:sz w:val="21"/>
                <w:highlight w:val="none"/>
              </w:rPr>
            </w:pPr>
          </w:p>
        </w:tc>
        <w:tc>
          <w:tcPr>
            <w:tcW w:w="1492" w:type="dxa"/>
            <w:gridSpan w:val="3"/>
            <w:vAlign w:val="top"/>
          </w:tcPr>
          <w:p w14:paraId="0DAE2F40">
            <w:pPr>
              <w:rPr>
                <w:rFonts w:ascii="Arial"/>
                <w:sz w:val="21"/>
                <w:highlight w:val="none"/>
              </w:rPr>
            </w:pPr>
          </w:p>
        </w:tc>
        <w:tc>
          <w:tcPr>
            <w:tcW w:w="1876" w:type="dxa"/>
            <w:gridSpan w:val="3"/>
            <w:vAlign w:val="top"/>
          </w:tcPr>
          <w:p w14:paraId="358048BB">
            <w:pPr>
              <w:rPr>
                <w:rFonts w:ascii="Arial"/>
                <w:sz w:val="21"/>
                <w:highlight w:val="none"/>
              </w:rPr>
            </w:pPr>
          </w:p>
        </w:tc>
        <w:tc>
          <w:tcPr>
            <w:tcW w:w="2058" w:type="dxa"/>
            <w:gridSpan w:val="3"/>
            <w:vAlign w:val="top"/>
          </w:tcPr>
          <w:p w14:paraId="2016770A">
            <w:pPr>
              <w:rPr>
                <w:rFonts w:ascii="Arial"/>
                <w:sz w:val="21"/>
                <w:highlight w:val="none"/>
              </w:rPr>
            </w:pPr>
          </w:p>
        </w:tc>
        <w:tc>
          <w:tcPr>
            <w:tcW w:w="2416" w:type="dxa"/>
            <w:gridSpan w:val="2"/>
            <w:vAlign w:val="top"/>
          </w:tcPr>
          <w:p w14:paraId="55A63F2D">
            <w:pPr>
              <w:rPr>
                <w:rFonts w:ascii="Arial"/>
                <w:sz w:val="21"/>
                <w:highlight w:val="none"/>
              </w:rPr>
            </w:pPr>
          </w:p>
        </w:tc>
      </w:tr>
      <w:tr w14:paraId="21C82E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1500" w:type="dxa"/>
            <w:vAlign w:val="top"/>
          </w:tcPr>
          <w:p w14:paraId="08F4B540">
            <w:pPr>
              <w:rPr>
                <w:rFonts w:ascii="Arial"/>
                <w:sz w:val="21"/>
                <w:highlight w:val="none"/>
              </w:rPr>
            </w:pPr>
          </w:p>
        </w:tc>
        <w:tc>
          <w:tcPr>
            <w:tcW w:w="1492" w:type="dxa"/>
            <w:gridSpan w:val="3"/>
            <w:vAlign w:val="top"/>
          </w:tcPr>
          <w:p w14:paraId="4AB1A311">
            <w:pPr>
              <w:rPr>
                <w:rFonts w:ascii="Arial"/>
                <w:sz w:val="21"/>
                <w:highlight w:val="none"/>
              </w:rPr>
            </w:pPr>
          </w:p>
        </w:tc>
        <w:tc>
          <w:tcPr>
            <w:tcW w:w="1876" w:type="dxa"/>
            <w:gridSpan w:val="3"/>
            <w:vAlign w:val="top"/>
          </w:tcPr>
          <w:p w14:paraId="3747FC88">
            <w:pPr>
              <w:rPr>
                <w:rFonts w:ascii="Arial"/>
                <w:sz w:val="21"/>
                <w:highlight w:val="none"/>
              </w:rPr>
            </w:pPr>
          </w:p>
        </w:tc>
        <w:tc>
          <w:tcPr>
            <w:tcW w:w="2058" w:type="dxa"/>
            <w:gridSpan w:val="3"/>
            <w:vAlign w:val="top"/>
          </w:tcPr>
          <w:p w14:paraId="7A92FB00">
            <w:pPr>
              <w:rPr>
                <w:rFonts w:ascii="Arial"/>
                <w:sz w:val="21"/>
                <w:highlight w:val="none"/>
              </w:rPr>
            </w:pPr>
          </w:p>
        </w:tc>
        <w:tc>
          <w:tcPr>
            <w:tcW w:w="2416" w:type="dxa"/>
            <w:gridSpan w:val="2"/>
            <w:vAlign w:val="top"/>
          </w:tcPr>
          <w:p w14:paraId="0AB963C5">
            <w:pPr>
              <w:rPr>
                <w:rFonts w:ascii="Arial"/>
                <w:sz w:val="21"/>
                <w:highlight w:val="none"/>
              </w:rPr>
            </w:pPr>
          </w:p>
        </w:tc>
      </w:tr>
    </w:tbl>
    <w:p w14:paraId="65383CDF">
      <w:pPr>
        <w:spacing w:before="219" w:line="220" w:lineRule="auto"/>
        <w:ind w:left="121"/>
        <w:rPr>
          <w:rFonts w:ascii="宋体" w:hAnsi="宋体" w:eastAsia="宋体" w:cs="宋体"/>
          <w:b/>
          <w:bCs/>
          <w:spacing w:val="-1"/>
          <w:sz w:val="21"/>
          <w:szCs w:val="21"/>
          <w:highlight w:val="none"/>
        </w:rPr>
      </w:pPr>
      <w:r>
        <w:rPr>
          <w:rFonts w:ascii="宋体" w:hAnsi="宋体" w:eastAsia="宋体" w:cs="宋体"/>
          <w:b/>
          <w:bCs/>
          <w:spacing w:val="-1"/>
          <w:sz w:val="21"/>
          <w:szCs w:val="21"/>
          <w:highlight w:val="none"/>
        </w:rPr>
        <w:t>注：后附相关证明资料的复印件</w:t>
      </w:r>
    </w:p>
    <w:p w14:paraId="3535191E">
      <w:pPr>
        <w:spacing w:before="219" w:line="220" w:lineRule="auto"/>
        <w:ind w:left="121"/>
        <w:rPr>
          <w:rFonts w:ascii="宋体" w:hAnsi="宋体" w:eastAsia="宋体" w:cs="宋体"/>
          <w:b/>
          <w:bCs/>
          <w:spacing w:val="-1"/>
          <w:sz w:val="21"/>
          <w:szCs w:val="21"/>
          <w:highlight w:val="none"/>
        </w:rPr>
      </w:pPr>
    </w:p>
    <w:p w14:paraId="58DF47C5">
      <w:pPr>
        <w:keepNext w:val="0"/>
        <w:keepLines w:val="0"/>
        <w:pageBreakBefore w:val="0"/>
        <w:widowControl w:val="0"/>
        <w:kinsoku/>
        <w:wordWrap/>
        <w:overflowPunct/>
        <w:topLinePunct w:val="0"/>
        <w:autoSpaceDE/>
        <w:autoSpaceDN/>
        <w:bidi w:val="0"/>
        <w:adjustRightInd/>
        <w:snapToGrid/>
        <w:spacing w:line="480" w:lineRule="auto"/>
        <w:ind w:left="0"/>
        <w:textAlignment w:val="auto"/>
        <w:rPr>
          <w:rFonts w:ascii="宋体" w:hAnsi="宋体" w:eastAsia="宋体" w:cs="宋体"/>
          <w:sz w:val="24"/>
          <w:szCs w:val="24"/>
          <w:highlight w:val="none"/>
        </w:rPr>
      </w:pPr>
      <w:r>
        <w:rPr>
          <w:rFonts w:ascii="宋体" w:hAnsi="宋体" w:eastAsia="宋体" w:cs="宋体"/>
          <w:spacing w:val="-2"/>
          <w:sz w:val="24"/>
          <w:szCs w:val="24"/>
          <w:highlight w:val="none"/>
        </w:rPr>
        <w:t>供应商</w:t>
      </w:r>
      <w:r>
        <w:rPr>
          <w:rFonts w:ascii="宋体" w:hAnsi="宋体" w:eastAsia="宋体" w:cs="宋体"/>
          <w:spacing w:val="4"/>
          <w:sz w:val="24"/>
          <w:szCs w:val="24"/>
          <w:highlight w:val="none"/>
        </w:rPr>
        <w:t>：</w:t>
      </w:r>
      <w:r>
        <w:rPr>
          <w:rFonts w:ascii="宋体" w:hAnsi="宋体" w:eastAsia="宋体" w:cs="宋体"/>
          <w:spacing w:val="1"/>
          <w:sz w:val="24"/>
          <w:szCs w:val="24"/>
          <w:highlight w:val="none"/>
          <w:u w:val="single" w:color="auto"/>
        </w:rPr>
        <w:t xml:space="preserve">                     </w:t>
      </w:r>
      <w:r>
        <w:rPr>
          <w:rFonts w:ascii="宋体" w:hAnsi="宋体" w:eastAsia="宋体" w:cs="宋体"/>
          <w:spacing w:val="4"/>
          <w:sz w:val="24"/>
          <w:szCs w:val="24"/>
          <w:highlight w:val="none"/>
        </w:rPr>
        <w:t>（</w:t>
      </w:r>
      <w:r>
        <w:rPr>
          <w:rFonts w:ascii="宋体" w:hAnsi="宋体" w:eastAsia="宋体" w:cs="宋体"/>
          <w:spacing w:val="-2"/>
          <w:sz w:val="24"/>
          <w:szCs w:val="24"/>
          <w:highlight w:val="none"/>
        </w:rPr>
        <w:t>盖单位章）</w:t>
      </w:r>
    </w:p>
    <w:p w14:paraId="42C11BD9">
      <w:pPr>
        <w:keepNext w:val="0"/>
        <w:keepLines w:val="0"/>
        <w:pageBreakBefore w:val="0"/>
        <w:widowControl w:val="0"/>
        <w:kinsoku/>
        <w:wordWrap/>
        <w:overflowPunct/>
        <w:topLinePunct w:val="0"/>
        <w:autoSpaceDE/>
        <w:autoSpaceDN/>
        <w:bidi w:val="0"/>
        <w:adjustRightInd/>
        <w:snapToGrid/>
        <w:spacing w:line="480" w:lineRule="auto"/>
        <w:ind w:left="0"/>
        <w:textAlignment w:val="auto"/>
        <w:rPr>
          <w:rFonts w:ascii="宋体" w:hAnsi="宋体" w:eastAsia="宋体" w:cs="宋体"/>
          <w:spacing w:val="2"/>
          <w:sz w:val="24"/>
          <w:szCs w:val="24"/>
          <w:highlight w:val="none"/>
        </w:rPr>
      </w:pPr>
      <w:r>
        <w:rPr>
          <w:rFonts w:ascii="宋体" w:hAnsi="宋体" w:eastAsia="宋体" w:cs="宋体"/>
          <w:spacing w:val="2"/>
          <w:sz w:val="24"/>
          <w:szCs w:val="24"/>
          <w:highlight w:val="none"/>
        </w:rPr>
        <w:t>供应商法定代表人或其委托代理人</w:t>
      </w:r>
      <w:r>
        <w:rPr>
          <w:rFonts w:ascii="宋体" w:hAnsi="宋体" w:eastAsia="宋体" w:cs="宋体"/>
          <w:spacing w:val="-15"/>
          <w:sz w:val="24"/>
          <w:szCs w:val="24"/>
          <w:highlight w:val="none"/>
        </w:rPr>
        <w:t>：</w:t>
      </w:r>
      <w:r>
        <w:rPr>
          <w:rFonts w:ascii="宋体" w:hAnsi="宋体" w:eastAsia="宋体" w:cs="宋体"/>
          <w:spacing w:val="1"/>
          <w:sz w:val="24"/>
          <w:szCs w:val="24"/>
          <w:highlight w:val="none"/>
          <w:u w:val="single" w:color="auto"/>
        </w:rPr>
        <w:t xml:space="preserve">         </w:t>
      </w:r>
      <w:r>
        <w:rPr>
          <w:rFonts w:ascii="宋体" w:hAnsi="宋体" w:eastAsia="宋体" w:cs="宋体"/>
          <w:spacing w:val="-15"/>
          <w:sz w:val="24"/>
          <w:szCs w:val="24"/>
          <w:highlight w:val="none"/>
        </w:rPr>
        <w:t>（</w:t>
      </w:r>
      <w:r>
        <w:rPr>
          <w:rFonts w:ascii="宋体" w:hAnsi="宋体" w:eastAsia="宋体" w:cs="宋体"/>
          <w:spacing w:val="2"/>
          <w:sz w:val="24"/>
          <w:szCs w:val="24"/>
          <w:highlight w:val="none"/>
        </w:rPr>
        <w:t xml:space="preserve">签字或盖章） </w:t>
      </w:r>
    </w:p>
    <w:p w14:paraId="481A2829">
      <w:pPr>
        <w:keepNext w:val="0"/>
        <w:keepLines w:val="0"/>
        <w:pageBreakBefore w:val="0"/>
        <w:widowControl w:val="0"/>
        <w:kinsoku/>
        <w:wordWrap/>
        <w:overflowPunct/>
        <w:topLinePunct w:val="0"/>
        <w:autoSpaceDE/>
        <w:autoSpaceDN/>
        <w:bidi w:val="0"/>
        <w:adjustRightInd/>
        <w:snapToGrid/>
        <w:spacing w:line="480" w:lineRule="auto"/>
        <w:ind w:left="0"/>
        <w:textAlignment w:val="auto"/>
        <w:rPr>
          <w:rFonts w:ascii="宋体" w:hAnsi="宋体" w:eastAsia="宋体" w:cs="宋体"/>
          <w:spacing w:val="-9"/>
          <w:sz w:val="24"/>
          <w:szCs w:val="24"/>
          <w:highlight w:val="none"/>
        </w:rPr>
      </w:pPr>
      <w:r>
        <w:rPr>
          <w:rFonts w:hint="eastAsia" w:ascii="宋体" w:hAnsi="宋体" w:eastAsia="宋体" w:cs="宋体"/>
          <w:spacing w:val="2"/>
          <w:sz w:val="24"/>
          <w:szCs w:val="24"/>
          <w:highlight w:val="none"/>
          <w:lang w:val="en-US" w:eastAsia="zh-CN"/>
        </w:rPr>
        <w:t>日期：</w:t>
      </w:r>
      <w:r>
        <w:rPr>
          <w:rFonts w:hint="eastAsia" w:ascii="宋体" w:hAnsi="宋体" w:eastAsia="宋体" w:cs="宋体"/>
          <w:spacing w:val="2"/>
          <w:sz w:val="24"/>
          <w:szCs w:val="24"/>
          <w:highlight w:val="none"/>
          <w:u w:val="single"/>
          <w:lang w:val="en-US" w:eastAsia="zh-CN"/>
        </w:rPr>
        <w:t xml:space="preserve">        </w:t>
      </w:r>
      <w:r>
        <w:rPr>
          <w:rFonts w:ascii="宋体" w:hAnsi="宋体" w:eastAsia="宋体" w:cs="宋体"/>
          <w:sz w:val="24"/>
          <w:szCs w:val="24"/>
          <w:highlight w:val="none"/>
          <w:u w:val="single" w:color="auto"/>
        </w:rPr>
        <w:tab/>
      </w:r>
      <w:r>
        <w:rPr>
          <w:rFonts w:ascii="宋体" w:hAnsi="宋体" w:eastAsia="宋体" w:cs="宋体"/>
          <w:spacing w:val="-110"/>
          <w:sz w:val="24"/>
          <w:szCs w:val="24"/>
          <w:highlight w:val="none"/>
        </w:rPr>
        <w:t xml:space="preserve"> </w:t>
      </w:r>
      <w:r>
        <w:rPr>
          <w:rFonts w:ascii="宋体" w:hAnsi="宋体" w:eastAsia="宋体" w:cs="宋体"/>
          <w:spacing w:val="-9"/>
          <w:sz w:val="24"/>
          <w:szCs w:val="24"/>
          <w:highlight w:val="none"/>
        </w:rPr>
        <w:t>年</w:t>
      </w:r>
      <w:r>
        <w:rPr>
          <w:rFonts w:ascii="宋体" w:hAnsi="宋体" w:eastAsia="宋体" w:cs="宋体"/>
          <w:spacing w:val="1"/>
          <w:sz w:val="24"/>
          <w:szCs w:val="24"/>
          <w:highlight w:val="none"/>
          <w:u w:val="single" w:color="auto"/>
        </w:rPr>
        <w:t xml:space="preserve">         </w:t>
      </w:r>
      <w:r>
        <w:rPr>
          <w:rFonts w:ascii="宋体" w:hAnsi="宋体" w:eastAsia="宋体" w:cs="宋体"/>
          <w:spacing w:val="-102"/>
          <w:sz w:val="24"/>
          <w:szCs w:val="24"/>
          <w:highlight w:val="none"/>
        </w:rPr>
        <w:t xml:space="preserve"> </w:t>
      </w:r>
      <w:r>
        <w:rPr>
          <w:rFonts w:ascii="宋体" w:hAnsi="宋体" w:eastAsia="宋体" w:cs="宋体"/>
          <w:spacing w:val="-9"/>
          <w:sz w:val="24"/>
          <w:szCs w:val="24"/>
          <w:highlight w:val="none"/>
        </w:rPr>
        <w:t>月</w:t>
      </w:r>
      <w:r>
        <w:rPr>
          <w:rFonts w:ascii="宋体" w:hAnsi="宋体" w:eastAsia="宋体" w:cs="宋体"/>
          <w:spacing w:val="1"/>
          <w:sz w:val="24"/>
          <w:szCs w:val="24"/>
          <w:highlight w:val="none"/>
          <w:u w:val="single" w:color="auto"/>
        </w:rPr>
        <w:t xml:space="preserve">         </w:t>
      </w:r>
      <w:r>
        <w:rPr>
          <w:rFonts w:ascii="宋体" w:hAnsi="宋体" w:eastAsia="宋体" w:cs="宋体"/>
          <w:spacing w:val="-68"/>
          <w:sz w:val="24"/>
          <w:szCs w:val="24"/>
          <w:highlight w:val="none"/>
        </w:rPr>
        <w:t xml:space="preserve"> </w:t>
      </w:r>
      <w:r>
        <w:rPr>
          <w:rFonts w:ascii="宋体" w:hAnsi="宋体" w:eastAsia="宋体" w:cs="宋体"/>
          <w:spacing w:val="-9"/>
          <w:sz w:val="24"/>
          <w:szCs w:val="24"/>
          <w:highlight w:val="none"/>
        </w:rPr>
        <w:t>日</w:t>
      </w:r>
    </w:p>
    <w:p w14:paraId="09D3EC7D">
      <w:pPr>
        <w:rPr>
          <w:rFonts w:hint="eastAsia" w:ascii="宋体" w:hAnsi="宋体" w:eastAsia="宋体" w:cs="宋体"/>
          <w:b/>
          <w:bCs/>
          <w:sz w:val="32"/>
          <w:szCs w:val="32"/>
          <w:highlight w:val="none"/>
          <w:lang w:val="en-US" w:eastAsia="zh-CN"/>
        </w:rPr>
      </w:pPr>
      <w:r>
        <w:rPr>
          <w:rFonts w:hint="eastAsia" w:ascii="宋体" w:hAnsi="宋体" w:eastAsia="宋体" w:cs="宋体"/>
          <w:b/>
          <w:bCs/>
          <w:sz w:val="32"/>
          <w:szCs w:val="32"/>
          <w:highlight w:val="none"/>
          <w:lang w:val="en-US" w:eastAsia="zh-CN"/>
        </w:rPr>
        <w:br w:type="page"/>
      </w:r>
    </w:p>
    <w:p w14:paraId="36090E3E">
      <w:pPr>
        <w:spacing w:before="91" w:line="219" w:lineRule="auto"/>
        <w:ind w:left="146"/>
        <w:rPr>
          <w:rFonts w:ascii="宋体" w:hAnsi="宋体" w:eastAsia="宋体" w:cs="宋体"/>
          <w:sz w:val="28"/>
          <w:szCs w:val="28"/>
          <w:highlight w:val="none"/>
        </w:rPr>
      </w:pPr>
      <w:r>
        <w:rPr>
          <w:rFonts w:ascii="宋体" w:hAnsi="宋体" w:eastAsia="宋体" w:cs="宋体"/>
          <w:b/>
          <w:bCs/>
          <w:spacing w:val="-4"/>
          <w:sz w:val="28"/>
          <w:szCs w:val="28"/>
          <w:highlight w:val="none"/>
        </w:rPr>
        <w:t>附表</w:t>
      </w:r>
      <w:r>
        <w:rPr>
          <w:rFonts w:ascii="宋体" w:hAnsi="宋体" w:eastAsia="宋体" w:cs="宋体"/>
          <w:spacing w:val="-48"/>
          <w:sz w:val="28"/>
          <w:szCs w:val="28"/>
          <w:highlight w:val="none"/>
        </w:rPr>
        <w:t xml:space="preserve"> </w:t>
      </w:r>
      <w:r>
        <w:rPr>
          <w:rFonts w:ascii="宋体" w:hAnsi="宋体" w:eastAsia="宋体" w:cs="宋体"/>
          <w:b/>
          <w:bCs/>
          <w:spacing w:val="-4"/>
          <w:sz w:val="28"/>
          <w:szCs w:val="28"/>
          <w:highlight w:val="none"/>
        </w:rPr>
        <w:t>3：公司拟安排本项目的人员情况</w:t>
      </w:r>
    </w:p>
    <w:p w14:paraId="4EB54325">
      <w:pPr>
        <w:spacing w:line="119" w:lineRule="exact"/>
        <w:rPr>
          <w:highlight w:val="none"/>
        </w:rPr>
      </w:pPr>
    </w:p>
    <w:tbl>
      <w:tblPr>
        <w:tblStyle w:val="58"/>
        <w:tblW w:w="963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12"/>
        <w:gridCol w:w="991"/>
        <w:gridCol w:w="1780"/>
        <w:gridCol w:w="1387"/>
        <w:gridCol w:w="991"/>
        <w:gridCol w:w="792"/>
        <w:gridCol w:w="991"/>
        <w:gridCol w:w="1391"/>
      </w:tblGrid>
      <w:tr w14:paraId="5D490E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5" w:hRule="atLeast"/>
        </w:trPr>
        <w:tc>
          <w:tcPr>
            <w:tcW w:w="1312" w:type="dxa"/>
            <w:vAlign w:val="top"/>
          </w:tcPr>
          <w:p w14:paraId="07B4BBD2">
            <w:pPr>
              <w:spacing w:line="293" w:lineRule="auto"/>
              <w:rPr>
                <w:rFonts w:ascii="Arial"/>
                <w:sz w:val="21"/>
                <w:highlight w:val="none"/>
              </w:rPr>
            </w:pPr>
          </w:p>
          <w:p w14:paraId="580334CF">
            <w:pPr>
              <w:pStyle w:val="68"/>
              <w:spacing w:before="68" w:line="222" w:lineRule="auto"/>
              <w:ind w:left="449"/>
              <w:rPr>
                <w:highlight w:val="none"/>
              </w:rPr>
            </w:pPr>
            <w:r>
              <w:rPr>
                <w:spacing w:val="-2"/>
                <w:highlight w:val="none"/>
              </w:rPr>
              <w:t>序号</w:t>
            </w:r>
          </w:p>
        </w:tc>
        <w:tc>
          <w:tcPr>
            <w:tcW w:w="991" w:type="dxa"/>
            <w:vAlign w:val="top"/>
          </w:tcPr>
          <w:p w14:paraId="6CEF9614">
            <w:pPr>
              <w:spacing w:line="292" w:lineRule="auto"/>
              <w:rPr>
                <w:rFonts w:ascii="Arial"/>
                <w:sz w:val="21"/>
                <w:highlight w:val="none"/>
              </w:rPr>
            </w:pPr>
          </w:p>
          <w:p w14:paraId="34B0F46F">
            <w:pPr>
              <w:pStyle w:val="68"/>
              <w:spacing w:before="68" w:line="221" w:lineRule="auto"/>
              <w:ind w:left="285"/>
              <w:rPr>
                <w:highlight w:val="none"/>
              </w:rPr>
            </w:pPr>
            <w:r>
              <w:rPr>
                <w:spacing w:val="-2"/>
                <w:highlight w:val="none"/>
              </w:rPr>
              <w:t>姓名</w:t>
            </w:r>
          </w:p>
        </w:tc>
        <w:tc>
          <w:tcPr>
            <w:tcW w:w="1780" w:type="dxa"/>
            <w:vAlign w:val="top"/>
          </w:tcPr>
          <w:p w14:paraId="3902042F">
            <w:pPr>
              <w:pStyle w:val="68"/>
              <w:spacing w:before="206" w:line="261" w:lineRule="auto"/>
              <w:ind w:left="682" w:right="678"/>
              <w:rPr>
                <w:highlight w:val="none"/>
              </w:rPr>
            </w:pPr>
            <w:r>
              <w:rPr>
                <w:spacing w:val="-4"/>
                <w:highlight w:val="none"/>
              </w:rPr>
              <w:t>现任</w:t>
            </w:r>
            <w:r>
              <w:rPr>
                <w:highlight w:val="none"/>
              </w:rPr>
              <w:t xml:space="preserve"> </w:t>
            </w:r>
            <w:r>
              <w:rPr>
                <w:spacing w:val="-4"/>
                <w:highlight w:val="none"/>
              </w:rPr>
              <w:t>职务</w:t>
            </w:r>
          </w:p>
        </w:tc>
        <w:tc>
          <w:tcPr>
            <w:tcW w:w="1387" w:type="dxa"/>
            <w:vAlign w:val="top"/>
          </w:tcPr>
          <w:p w14:paraId="2D46DBCE">
            <w:pPr>
              <w:pStyle w:val="68"/>
              <w:spacing w:before="206" w:line="263" w:lineRule="auto"/>
              <w:ind w:left="594" w:right="162" w:hanging="425"/>
              <w:rPr>
                <w:highlight w:val="none"/>
              </w:rPr>
            </w:pPr>
            <w:r>
              <w:rPr>
                <w:spacing w:val="-1"/>
                <w:highlight w:val="none"/>
              </w:rPr>
              <w:t>拟在项目任</w:t>
            </w:r>
            <w:r>
              <w:rPr>
                <w:spacing w:val="3"/>
                <w:highlight w:val="none"/>
              </w:rPr>
              <w:t xml:space="preserve"> </w:t>
            </w:r>
            <w:r>
              <w:rPr>
                <w:highlight w:val="none"/>
              </w:rPr>
              <w:t>职</w:t>
            </w:r>
          </w:p>
        </w:tc>
        <w:tc>
          <w:tcPr>
            <w:tcW w:w="991" w:type="dxa"/>
            <w:vAlign w:val="top"/>
          </w:tcPr>
          <w:p w14:paraId="73B4DC90">
            <w:pPr>
              <w:spacing w:line="293" w:lineRule="auto"/>
              <w:rPr>
                <w:rFonts w:ascii="Arial"/>
                <w:sz w:val="21"/>
                <w:highlight w:val="none"/>
              </w:rPr>
            </w:pPr>
          </w:p>
          <w:p w14:paraId="0979DC40">
            <w:pPr>
              <w:pStyle w:val="68"/>
              <w:spacing w:before="68" w:line="222" w:lineRule="auto"/>
              <w:ind w:left="294"/>
              <w:rPr>
                <w:highlight w:val="none"/>
              </w:rPr>
            </w:pPr>
            <w:r>
              <w:rPr>
                <w:spacing w:val="-3"/>
                <w:highlight w:val="none"/>
              </w:rPr>
              <w:t>学历</w:t>
            </w:r>
          </w:p>
        </w:tc>
        <w:tc>
          <w:tcPr>
            <w:tcW w:w="792" w:type="dxa"/>
            <w:vAlign w:val="top"/>
          </w:tcPr>
          <w:p w14:paraId="19C3A20B">
            <w:pPr>
              <w:spacing w:line="292" w:lineRule="auto"/>
              <w:rPr>
                <w:rFonts w:ascii="Arial"/>
                <w:sz w:val="21"/>
                <w:highlight w:val="none"/>
              </w:rPr>
            </w:pPr>
          </w:p>
          <w:p w14:paraId="1725F0AB">
            <w:pPr>
              <w:pStyle w:val="68"/>
              <w:spacing w:before="69" w:line="223" w:lineRule="auto"/>
              <w:ind w:left="190"/>
              <w:rPr>
                <w:highlight w:val="none"/>
              </w:rPr>
            </w:pPr>
            <w:r>
              <w:rPr>
                <w:spacing w:val="-2"/>
                <w:highlight w:val="none"/>
              </w:rPr>
              <w:t>职称</w:t>
            </w:r>
          </w:p>
        </w:tc>
        <w:tc>
          <w:tcPr>
            <w:tcW w:w="991" w:type="dxa"/>
            <w:vAlign w:val="top"/>
          </w:tcPr>
          <w:p w14:paraId="152C610F">
            <w:pPr>
              <w:spacing w:line="293" w:lineRule="auto"/>
              <w:rPr>
                <w:rFonts w:ascii="Arial"/>
                <w:sz w:val="21"/>
                <w:highlight w:val="none"/>
              </w:rPr>
            </w:pPr>
          </w:p>
          <w:p w14:paraId="1A063918">
            <w:pPr>
              <w:pStyle w:val="68"/>
              <w:spacing w:before="68" w:line="221" w:lineRule="auto"/>
              <w:ind w:left="290"/>
              <w:rPr>
                <w:highlight w:val="none"/>
              </w:rPr>
            </w:pPr>
            <w:r>
              <w:rPr>
                <w:spacing w:val="-2"/>
                <w:highlight w:val="none"/>
              </w:rPr>
              <w:t>专业</w:t>
            </w:r>
          </w:p>
        </w:tc>
        <w:tc>
          <w:tcPr>
            <w:tcW w:w="1391" w:type="dxa"/>
            <w:vAlign w:val="top"/>
          </w:tcPr>
          <w:p w14:paraId="3AD3BC34">
            <w:pPr>
              <w:spacing w:line="292" w:lineRule="auto"/>
              <w:rPr>
                <w:rFonts w:ascii="Arial"/>
                <w:sz w:val="21"/>
                <w:highlight w:val="none"/>
              </w:rPr>
            </w:pPr>
          </w:p>
          <w:p w14:paraId="7BCAEFED">
            <w:pPr>
              <w:pStyle w:val="68"/>
              <w:spacing w:before="69" w:line="220" w:lineRule="auto"/>
              <w:ind w:left="285"/>
              <w:rPr>
                <w:highlight w:val="none"/>
              </w:rPr>
            </w:pPr>
            <w:r>
              <w:rPr>
                <w:spacing w:val="-3"/>
                <w:highlight w:val="none"/>
              </w:rPr>
              <w:t>资格证书</w:t>
            </w:r>
          </w:p>
        </w:tc>
      </w:tr>
      <w:tr w14:paraId="4B35D2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312" w:type="dxa"/>
            <w:vAlign w:val="top"/>
          </w:tcPr>
          <w:p w14:paraId="66F10029">
            <w:pPr>
              <w:rPr>
                <w:rFonts w:ascii="Arial"/>
                <w:sz w:val="21"/>
                <w:highlight w:val="none"/>
              </w:rPr>
            </w:pPr>
          </w:p>
        </w:tc>
        <w:tc>
          <w:tcPr>
            <w:tcW w:w="991" w:type="dxa"/>
            <w:vAlign w:val="top"/>
          </w:tcPr>
          <w:p w14:paraId="5E676BA8">
            <w:pPr>
              <w:rPr>
                <w:rFonts w:ascii="Arial"/>
                <w:sz w:val="21"/>
                <w:highlight w:val="none"/>
              </w:rPr>
            </w:pPr>
          </w:p>
        </w:tc>
        <w:tc>
          <w:tcPr>
            <w:tcW w:w="1780" w:type="dxa"/>
            <w:vAlign w:val="top"/>
          </w:tcPr>
          <w:p w14:paraId="603EABD4">
            <w:pPr>
              <w:rPr>
                <w:rFonts w:ascii="Arial"/>
                <w:sz w:val="21"/>
                <w:highlight w:val="none"/>
              </w:rPr>
            </w:pPr>
          </w:p>
        </w:tc>
        <w:tc>
          <w:tcPr>
            <w:tcW w:w="1387" w:type="dxa"/>
            <w:vAlign w:val="top"/>
          </w:tcPr>
          <w:p w14:paraId="1237EFBF">
            <w:pPr>
              <w:rPr>
                <w:rFonts w:ascii="Arial"/>
                <w:sz w:val="21"/>
                <w:highlight w:val="none"/>
              </w:rPr>
            </w:pPr>
          </w:p>
        </w:tc>
        <w:tc>
          <w:tcPr>
            <w:tcW w:w="991" w:type="dxa"/>
            <w:vAlign w:val="top"/>
          </w:tcPr>
          <w:p w14:paraId="636736B2">
            <w:pPr>
              <w:rPr>
                <w:rFonts w:ascii="Arial"/>
                <w:sz w:val="21"/>
                <w:highlight w:val="none"/>
              </w:rPr>
            </w:pPr>
          </w:p>
        </w:tc>
        <w:tc>
          <w:tcPr>
            <w:tcW w:w="792" w:type="dxa"/>
            <w:vAlign w:val="top"/>
          </w:tcPr>
          <w:p w14:paraId="496DDF44">
            <w:pPr>
              <w:rPr>
                <w:rFonts w:ascii="Arial"/>
                <w:sz w:val="21"/>
                <w:highlight w:val="none"/>
              </w:rPr>
            </w:pPr>
          </w:p>
        </w:tc>
        <w:tc>
          <w:tcPr>
            <w:tcW w:w="991" w:type="dxa"/>
            <w:vAlign w:val="top"/>
          </w:tcPr>
          <w:p w14:paraId="10373EB3">
            <w:pPr>
              <w:rPr>
                <w:rFonts w:ascii="Arial"/>
                <w:sz w:val="21"/>
                <w:highlight w:val="none"/>
              </w:rPr>
            </w:pPr>
          </w:p>
        </w:tc>
        <w:tc>
          <w:tcPr>
            <w:tcW w:w="1391" w:type="dxa"/>
            <w:vAlign w:val="top"/>
          </w:tcPr>
          <w:p w14:paraId="489574E2">
            <w:pPr>
              <w:rPr>
                <w:rFonts w:ascii="Arial"/>
                <w:sz w:val="21"/>
                <w:highlight w:val="none"/>
              </w:rPr>
            </w:pPr>
          </w:p>
        </w:tc>
      </w:tr>
      <w:tr w14:paraId="7BE274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312" w:type="dxa"/>
            <w:vAlign w:val="top"/>
          </w:tcPr>
          <w:p w14:paraId="77DD1C73">
            <w:pPr>
              <w:rPr>
                <w:rFonts w:ascii="Arial"/>
                <w:sz w:val="21"/>
                <w:highlight w:val="none"/>
              </w:rPr>
            </w:pPr>
          </w:p>
        </w:tc>
        <w:tc>
          <w:tcPr>
            <w:tcW w:w="991" w:type="dxa"/>
            <w:vAlign w:val="top"/>
          </w:tcPr>
          <w:p w14:paraId="38C30EE3">
            <w:pPr>
              <w:rPr>
                <w:rFonts w:ascii="Arial"/>
                <w:sz w:val="21"/>
                <w:highlight w:val="none"/>
              </w:rPr>
            </w:pPr>
          </w:p>
        </w:tc>
        <w:tc>
          <w:tcPr>
            <w:tcW w:w="1780" w:type="dxa"/>
            <w:vAlign w:val="top"/>
          </w:tcPr>
          <w:p w14:paraId="45663C35">
            <w:pPr>
              <w:rPr>
                <w:rFonts w:ascii="Arial"/>
                <w:sz w:val="21"/>
                <w:highlight w:val="none"/>
              </w:rPr>
            </w:pPr>
          </w:p>
        </w:tc>
        <w:tc>
          <w:tcPr>
            <w:tcW w:w="1387" w:type="dxa"/>
            <w:vAlign w:val="top"/>
          </w:tcPr>
          <w:p w14:paraId="3B66A5C8">
            <w:pPr>
              <w:rPr>
                <w:rFonts w:ascii="Arial"/>
                <w:sz w:val="21"/>
                <w:highlight w:val="none"/>
              </w:rPr>
            </w:pPr>
          </w:p>
        </w:tc>
        <w:tc>
          <w:tcPr>
            <w:tcW w:w="991" w:type="dxa"/>
            <w:vAlign w:val="top"/>
          </w:tcPr>
          <w:p w14:paraId="5CBB733A">
            <w:pPr>
              <w:rPr>
                <w:rFonts w:ascii="Arial"/>
                <w:sz w:val="21"/>
                <w:highlight w:val="none"/>
              </w:rPr>
            </w:pPr>
          </w:p>
        </w:tc>
        <w:tc>
          <w:tcPr>
            <w:tcW w:w="792" w:type="dxa"/>
            <w:vAlign w:val="top"/>
          </w:tcPr>
          <w:p w14:paraId="39BA7F9C">
            <w:pPr>
              <w:rPr>
                <w:rFonts w:ascii="Arial"/>
                <w:sz w:val="21"/>
                <w:highlight w:val="none"/>
              </w:rPr>
            </w:pPr>
          </w:p>
        </w:tc>
        <w:tc>
          <w:tcPr>
            <w:tcW w:w="991" w:type="dxa"/>
            <w:vAlign w:val="top"/>
          </w:tcPr>
          <w:p w14:paraId="0A1F3794">
            <w:pPr>
              <w:rPr>
                <w:rFonts w:ascii="Arial"/>
                <w:sz w:val="21"/>
                <w:highlight w:val="none"/>
              </w:rPr>
            </w:pPr>
          </w:p>
        </w:tc>
        <w:tc>
          <w:tcPr>
            <w:tcW w:w="1391" w:type="dxa"/>
            <w:vAlign w:val="top"/>
          </w:tcPr>
          <w:p w14:paraId="226AE146">
            <w:pPr>
              <w:rPr>
                <w:rFonts w:ascii="Arial"/>
                <w:sz w:val="21"/>
                <w:highlight w:val="none"/>
              </w:rPr>
            </w:pPr>
          </w:p>
        </w:tc>
      </w:tr>
      <w:tr w14:paraId="1A2244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312" w:type="dxa"/>
            <w:vAlign w:val="top"/>
          </w:tcPr>
          <w:p w14:paraId="7D793B30">
            <w:pPr>
              <w:rPr>
                <w:rFonts w:ascii="Arial"/>
                <w:sz w:val="21"/>
                <w:highlight w:val="none"/>
              </w:rPr>
            </w:pPr>
          </w:p>
        </w:tc>
        <w:tc>
          <w:tcPr>
            <w:tcW w:w="991" w:type="dxa"/>
            <w:vAlign w:val="top"/>
          </w:tcPr>
          <w:p w14:paraId="2AE3B786">
            <w:pPr>
              <w:rPr>
                <w:rFonts w:ascii="Arial"/>
                <w:sz w:val="21"/>
                <w:highlight w:val="none"/>
              </w:rPr>
            </w:pPr>
          </w:p>
        </w:tc>
        <w:tc>
          <w:tcPr>
            <w:tcW w:w="1780" w:type="dxa"/>
            <w:vAlign w:val="top"/>
          </w:tcPr>
          <w:p w14:paraId="308B7651">
            <w:pPr>
              <w:rPr>
                <w:rFonts w:ascii="Arial"/>
                <w:sz w:val="21"/>
                <w:highlight w:val="none"/>
              </w:rPr>
            </w:pPr>
          </w:p>
        </w:tc>
        <w:tc>
          <w:tcPr>
            <w:tcW w:w="1387" w:type="dxa"/>
            <w:vAlign w:val="top"/>
          </w:tcPr>
          <w:p w14:paraId="00212154">
            <w:pPr>
              <w:rPr>
                <w:rFonts w:ascii="Arial"/>
                <w:sz w:val="21"/>
                <w:highlight w:val="none"/>
              </w:rPr>
            </w:pPr>
          </w:p>
        </w:tc>
        <w:tc>
          <w:tcPr>
            <w:tcW w:w="991" w:type="dxa"/>
            <w:vAlign w:val="top"/>
          </w:tcPr>
          <w:p w14:paraId="4FF138C7">
            <w:pPr>
              <w:rPr>
                <w:rFonts w:ascii="Arial"/>
                <w:sz w:val="21"/>
                <w:highlight w:val="none"/>
              </w:rPr>
            </w:pPr>
          </w:p>
        </w:tc>
        <w:tc>
          <w:tcPr>
            <w:tcW w:w="792" w:type="dxa"/>
            <w:vAlign w:val="top"/>
          </w:tcPr>
          <w:p w14:paraId="3C6D920B">
            <w:pPr>
              <w:rPr>
                <w:rFonts w:ascii="Arial"/>
                <w:sz w:val="21"/>
                <w:highlight w:val="none"/>
              </w:rPr>
            </w:pPr>
          </w:p>
        </w:tc>
        <w:tc>
          <w:tcPr>
            <w:tcW w:w="991" w:type="dxa"/>
            <w:vAlign w:val="top"/>
          </w:tcPr>
          <w:p w14:paraId="6FF6003F">
            <w:pPr>
              <w:rPr>
                <w:rFonts w:ascii="Arial"/>
                <w:sz w:val="21"/>
                <w:highlight w:val="none"/>
              </w:rPr>
            </w:pPr>
          </w:p>
        </w:tc>
        <w:tc>
          <w:tcPr>
            <w:tcW w:w="1391" w:type="dxa"/>
            <w:vAlign w:val="top"/>
          </w:tcPr>
          <w:p w14:paraId="07638A7C">
            <w:pPr>
              <w:rPr>
                <w:rFonts w:ascii="Arial"/>
                <w:sz w:val="21"/>
                <w:highlight w:val="none"/>
              </w:rPr>
            </w:pPr>
          </w:p>
        </w:tc>
      </w:tr>
      <w:tr w14:paraId="59BA67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312" w:type="dxa"/>
            <w:vAlign w:val="top"/>
          </w:tcPr>
          <w:p w14:paraId="656DB41B">
            <w:pPr>
              <w:rPr>
                <w:rFonts w:ascii="Arial"/>
                <w:sz w:val="21"/>
                <w:highlight w:val="none"/>
              </w:rPr>
            </w:pPr>
          </w:p>
        </w:tc>
        <w:tc>
          <w:tcPr>
            <w:tcW w:w="991" w:type="dxa"/>
            <w:vAlign w:val="top"/>
          </w:tcPr>
          <w:p w14:paraId="3E4D8692">
            <w:pPr>
              <w:rPr>
                <w:rFonts w:ascii="Arial"/>
                <w:sz w:val="21"/>
                <w:highlight w:val="none"/>
              </w:rPr>
            </w:pPr>
          </w:p>
        </w:tc>
        <w:tc>
          <w:tcPr>
            <w:tcW w:w="1780" w:type="dxa"/>
            <w:vAlign w:val="top"/>
          </w:tcPr>
          <w:p w14:paraId="055CEE34">
            <w:pPr>
              <w:rPr>
                <w:rFonts w:ascii="Arial"/>
                <w:sz w:val="21"/>
                <w:highlight w:val="none"/>
              </w:rPr>
            </w:pPr>
          </w:p>
        </w:tc>
        <w:tc>
          <w:tcPr>
            <w:tcW w:w="1387" w:type="dxa"/>
            <w:vAlign w:val="top"/>
          </w:tcPr>
          <w:p w14:paraId="7CBA3369">
            <w:pPr>
              <w:rPr>
                <w:rFonts w:ascii="Arial"/>
                <w:sz w:val="21"/>
                <w:highlight w:val="none"/>
              </w:rPr>
            </w:pPr>
          </w:p>
        </w:tc>
        <w:tc>
          <w:tcPr>
            <w:tcW w:w="991" w:type="dxa"/>
            <w:vAlign w:val="top"/>
          </w:tcPr>
          <w:p w14:paraId="4072C653">
            <w:pPr>
              <w:rPr>
                <w:rFonts w:ascii="Arial"/>
                <w:sz w:val="21"/>
                <w:highlight w:val="none"/>
              </w:rPr>
            </w:pPr>
          </w:p>
        </w:tc>
        <w:tc>
          <w:tcPr>
            <w:tcW w:w="792" w:type="dxa"/>
            <w:vAlign w:val="top"/>
          </w:tcPr>
          <w:p w14:paraId="2C257144">
            <w:pPr>
              <w:rPr>
                <w:rFonts w:ascii="Arial"/>
                <w:sz w:val="21"/>
                <w:highlight w:val="none"/>
              </w:rPr>
            </w:pPr>
          </w:p>
        </w:tc>
        <w:tc>
          <w:tcPr>
            <w:tcW w:w="991" w:type="dxa"/>
            <w:vAlign w:val="top"/>
          </w:tcPr>
          <w:p w14:paraId="4F0836BE">
            <w:pPr>
              <w:rPr>
                <w:rFonts w:ascii="Arial"/>
                <w:sz w:val="21"/>
                <w:highlight w:val="none"/>
              </w:rPr>
            </w:pPr>
          </w:p>
        </w:tc>
        <w:tc>
          <w:tcPr>
            <w:tcW w:w="1391" w:type="dxa"/>
            <w:vAlign w:val="top"/>
          </w:tcPr>
          <w:p w14:paraId="0BDCC675">
            <w:pPr>
              <w:rPr>
                <w:rFonts w:ascii="Arial"/>
                <w:sz w:val="21"/>
                <w:highlight w:val="none"/>
              </w:rPr>
            </w:pPr>
          </w:p>
        </w:tc>
      </w:tr>
      <w:tr w14:paraId="6D2694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312" w:type="dxa"/>
            <w:vAlign w:val="top"/>
          </w:tcPr>
          <w:p w14:paraId="0F07A0CC">
            <w:pPr>
              <w:rPr>
                <w:rFonts w:ascii="Arial"/>
                <w:sz w:val="21"/>
                <w:highlight w:val="none"/>
              </w:rPr>
            </w:pPr>
          </w:p>
        </w:tc>
        <w:tc>
          <w:tcPr>
            <w:tcW w:w="991" w:type="dxa"/>
            <w:vAlign w:val="top"/>
          </w:tcPr>
          <w:p w14:paraId="1A738807">
            <w:pPr>
              <w:rPr>
                <w:rFonts w:ascii="Arial"/>
                <w:sz w:val="21"/>
                <w:highlight w:val="none"/>
              </w:rPr>
            </w:pPr>
          </w:p>
        </w:tc>
        <w:tc>
          <w:tcPr>
            <w:tcW w:w="1780" w:type="dxa"/>
            <w:vAlign w:val="top"/>
          </w:tcPr>
          <w:p w14:paraId="787D92AE">
            <w:pPr>
              <w:rPr>
                <w:rFonts w:ascii="Arial"/>
                <w:sz w:val="21"/>
                <w:highlight w:val="none"/>
              </w:rPr>
            </w:pPr>
          </w:p>
        </w:tc>
        <w:tc>
          <w:tcPr>
            <w:tcW w:w="1387" w:type="dxa"/>
            <w:vAlign w:val="top"/>
          </w:tcPr>
          <w:p w14:paraId="392FEF46">
            <w:pPr>
              <w:rPr>
                <w:rFonts w:ascii="Arial"/>
                <w:sz w:val="21"/>
                <w:highlight w:val="none"/>
              </w:rPr>
            </w:pPr>
          </w:p>
        </w:tc>
        <w:tc>
          <w:tcPr>
            <w:tcW w:w="991" w:type="dxa"/>
            <w:vAlign w:val="top"/>
          </w:tcPr>
          <w:p w14:paraId="62B2B017">
            <w:pPr>
              <w:rPr>
                <w:rFonts w:ascii="Arial"/>
                <w:sz w:val="21"/>
                <w:highlight w:val="none"/>
              </w:rPr>
            </w:pPr>
          </w:p>
        </w:tc>
        <w:tc>
          <w:tcPr>
            <w:tcW w:w="792" w:type="dxa"/>
            <w:vAlign w:val="top"/>
          </w:tcPr>
          <w:p w14:paraId="73B93A05">
            <w:pPr>
              <w:rPr>
                <w:rFonts w:ascii="Arial"/>
                <w:sz w:val="21"/>
                <w:highlight w:val="none"/>
              </w:rPr>
            </w:pPr>
          </w:p>
        </w:tc>
        <w:tc>
          <w:tcPr>
            <w:tcW w:w="991" w:type="dxa"/>
            <w:vAlign w:val="top"/>
          </w:tcPr>
          <w:p w14:paraId="611E6270">
            <w:pPr>
              <w:rPr>
                <w:rFonts w:ascii="Arial"/>
                <w:sz w:val="21"/>
                <w:highlight w:val="none"/>
              </w:rPr>
            </w:pPr>
          </w:p>
        </w:tc>
        <w:tc>
          <w:tcPr>
            <w:tcW w:w="1391" w:type="dxa"/>
            <w:vAlign w:val="top"/>
          </w:tcPr>
          <w:p w14:paraId="5877B0C9">
            <w:pPr>
              <w:rPr>
                <w:rFonts w:ascii="Arial"/>
                <w:sz w:val="21"/>
                <w:highlight w:val="none"/>
              </w:rPr>
            </w:pPr>
          </w:p>
        </w:tc>
      </w:tr>
      <w:tr w14:paraId="01A326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312" w:type="dxa"/>
            <w:vAlign w:val="top"/>
          </w:tcPr>
          <w:p w14:paraId="4F87A0DA">
            <w:pPr>
              <w:rPr>
                <w:rFonts w:ascii="Arial"/>
                <w:sz w:val="21"/>
                <w:highlight w:val="none"/>
              </w:rPr>
            </w:pPr>
          </w:p>
        </w:tc>
        <w:tc>
          <w:tcPr>
            <w:tcW w:w="991" w:type="dxa"/>
            <w:vAlign w:val="top"/>
          </w:tcPr>
          <w:p w14:paraId="47DF64E6">
            <w:pPr>
              <w:rPr>
                <w:rFonts w:ascii="Arial"/>
                <w:sz w:val="21"/>
                <w:highlight w:val="none"/>
              </w:rPr>
            </w:pPr>
          </w:p>
        </w:tc>
        <w:tc>
          <w:tcPr>
            <w:tcW w:w="1780" w:type="dxa"/>
            <w:vAlign w:val="top"/>
          </w:tcPr>
          <w:p w14:paraId="1E2625AB">
            <w:pPr>
              <w:rPr>
                <w:rFonts w:ascii="Arial"/>
                <w:sz w:val="21"/>
                <w:highlight w:val="none"/>
              </w:rPr>
            </w:pPr>
          </w:p>
        </w:tc>
        <w:tc>
          <w:tcPr>
            <w:tcW w:w="1387" w:type="dxa"/>
            <w:vAlign w:val="top"/>
          </w:tcPr>
          <w:p w14:paraId="2B09A985">
            <w:pPr>
              <w:rPr>
                <w:rFonts w:ascii="Arial"/>
                <w:sz w:val="21"/>
                <w:highlight w:val="none"/>
              </w:rPr>
            </w:pPr>
          </w:p>
        </w:tc>
        <w:tc>
          <w:tcPr>
            <w:tcW w:w="991" w:type="dxa"/>
            <w:vAlign w:val="top"/>
          </w:tcPr>
          <w:p w14:paraId="54F30A19">
            <w:pPr>
              <w:rPr>
                <w:rFonts w:ascii="Arial"/>
                <w:sz w:val="21"/>
                <w:highlight w:val="none"/>
              </w:rPr>
            </w:pPr>
          </w:p>
        </w:tc>
        <w:tc>
          <w:tcPr>
            <w:tcW w:w="792" w:type="dxa"/>
            <w:vAlign w:val="top"/>
          </w:tcPr>
          <w:p w14:paraId="6877C998">
            <w:pPr>
              <w:rPr>
                <w:rFonts w:ascii="Arial"/>
                <w:sz w:val="21"/>
                <w:highlight w:val="none"/>
              </w:rPr>
            </w:pPr>
          </w:p>
        </w:tc>
        <w:tc>
          <w:tcPr>
            <w:tcW w:w="991" w:type="dxa"/>
            <w:vAlign w:val="top"/>
          </w:tcPr>
          <w:p w14:paraId="08314D17">
            <w:pPr>
              <w:rPr>
                <w:rFonts w:ascii="Arial"/>
                <w:sz w:val="21"/>
                <w:highlight w:val="none"/>
              </w:rPr>
            </w:pPr>
          </w:p>
        </w:tc>
        <w:tc>
          <w:tcPr>
            <w:tcW w:w="1391" w:type="dxa"/>
            <w:vAlign w:val="top"/>
          </w:tcPr>
          <w:p w14:paraId="7C82F62C">
            <w:pPr>
              <w:rPr>
                <w:rFonts w:ascii="Arial"/>
                <w:sz w:val="21"/>
                <w:highlight w:val="none"/>
              </w:rPr>
            </w:pPr>
          </w:p>
        </w:tc>
      </w:tr>
      <w:tr w14:paraId="4301F0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312" w:type="dxa"/>
            <w:vAlign w:val="top"/>
          </w:tcPr>
          <w:p w14:paraId="3071CD37">
            <w:pPr>
              <w:rPr>
                <w:rFonts w:ascii="Arial"/>
                <w:sz w:val="21"/>
                <w:highlight w:val="none"/>
              </w:rPr>
            </w:pPr>
          </w:p>
        </w:tc>
        <w:tc>
          <w:tcPr>
            <w:tcW w:w="991" w:type="dxa"/>
            <w:vAlign w:val="top"/>
          </w:tcPr>
          <w:p w14:paraId="0C20E4D9">
            <w:pPr>
              <w:rPr>
                <w:rFonts w:ascii="Arial"/>
                <w:sz w:val="21"/>
                <w:highlight w:val="none"/>
              </w:rPr>
            </w:pPr>
          </w:p>
        </w:tc>
        <w:tc>
          <w:tcPr>
            <w:tcW w:w="1780" w:type="dxa"/>
            <w:vAlign w:val="top"/>
          </w:tcPr>
          <w:p w14:paraId="570B1FE2">
            <w:pPr>
              <w:rPr>
                <w:rFonts w:ascii="Arial"/>
                <w:sz w:val="21"/>
                <w:highlight w:val="none"/>
              </w:rPr>
            </w:pPr>
          </w:p>
        </w:tc>
        <w:tc>
          <w:tcPr>
            <w:tcW w:w="1387" w:type="dxa"/>
            <w:vAlign w:val="top"/>
          </w:tcPr>
          <w:p w14:paraId="08307BB5">
            <w:pPr>
              <w:rPr>
                <w:rFonts w:ascii="Arial"/>
                <w:sz w:val="21"/>
                <w:highlight w:val="none"/>
              </w:rPr>
            </w:pPr>
          </w:p>
        </w:tc>
        <w:tc>
          <w:tcPr>
            <w:tcW w:w="991" w:type="dxa"/>
            <w:vAlign w:val="top"/>
          </w:tcPr>
          <w:p w14:paraId="3B8F7088">
            <w:pPr>
              <w:rPr>
                <w:rFonts w:ascii="Arial"/>
                <w:sz w:val="21"/>
                <w:highlight w:val="none"/>
              </w:rPr>
            </w:pPr>
          </w:p>
        </w:tc>
        <w:tc>
          <w:tcPr>
            <w:tcW w:w="792" w:type="dxa"/>
            <w:vAlign w:val="top"/>
          </w:tcPr>
          <w:p w14:paraId="13217B1A">
            <w:pPr>
              <w:rPr>
                <w:rFonts w:ascii="Arial"/>
                <w:sz w:val="21"/>
                <w:highlight w:val="none"/>
              </w:rPr>
            </w:pPr>
          </w:p>
        </w:tc>
        <w:tc>
          <w:tcPr>
            <w:tcW w:w="991" w:type="dxa"/>
            <w:vAlign w:val="top"/>
          </w:tcPr>
          <w:p w14:paraId="79232F26">
            <w:pPr>
              <w:rPr>
                <w:rFonts w:ascii="Arial"/>
                <w:sz w:val="21"/>
                <w:highlight w:val="none"/>
              </w:rPr>
            </w:pPr>
          </w:p>
        </w:tc>
        <w:tc>
          <w:tcPr>
            <w:tcW w:w="1391" w:type="dxa"/>
            <w:vAlign w:val="top"/>
          </w:tcPr>
          <w:p w14:paraId="0C00D1D1">
            <w:pPr>
              <w:rPr>
                <w:rFonts w:ascii="Arial"/>
                <w:sz w:val="21"/>
                <w:highlight w:val="none"/>
              </w:rPr>
            </w:pPr>
          </w:p>
        </w:tc>
      </w:tr>
      <w:tr w14:paraId="05E9FB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312" w:type="dxa"/>
            <w:vAlign w:val="top"/>
          </w:tcPr>
          <w:p w14:paraId="4541BE61">
            <w:pPr>
              <w:rPr>
                <w:rFonts w:ascii="Arial"/>
                <w:sz w:val="21"/>
                <w:highlight w:val="none"/>
              </w:rPr>
            </w:pPr>
          </w:p>
        </w:tc>
        <w:tc>
          <w:tcPr>
            <w:tcW w:w="991" w:type="dxa"/>
            <w:vAlign w:val="top"/>
          </w:tcPr>
          <w:p w14:paraId="167EBD36">
            <w:pPr>
              <w:rPr>
                <w:rFonts w:ascii="Arial"/>
                <w:sz w:val="21"/>
                <w:highlight w:val="none"/>
              </w:rPr>
            </w:pPr>
          </w:p>
        </w:tc>
        <w:tc>
          <w:tcPr>
            <w:tcW w:w="1780" w:type="dxa"/>
            <w:vAlign w:val="top"/>
          </w:tcPr>
          <w:p w14:paraId="2699FC4B">
            <w:pPr>
              <w:rPr>
                <w:rFonts w:ascii="Arial"/>
                <w:sz w:val="21"/>
                <w:highlight w:val="none"/>
              </w:rPr>
            </w:pPr>
          </w:p>
        </w:tc>
        <w:tc>
          <w:tcPr>
            <w:tcW w:w="1387" w:type="dxa"/>
            <w:vAlign w:val="top"/>
          </w:tcPr>
          <w:p w14:paraId="31AE7DE7">
            <w:pPr>
              <w:rPr>
                <w:rFonts w:ascii="Arial"/>
                <w:sz w:val="21"/>
                <w:highlight w:val="none"/>
              </w:rPr>
            </w:pPr>
          </w:p>
        </w:tc>
        <w:tc>
          <w:tcPr>
            <w:tcW w:w="991" w:type="dxa"/>
            <w:vAlign w:val="top"/>
          </w:tcPr>
          <w:p w14:paraId="4A440C80">
            <w:pPr>
              <w:rPr>
                <w:rFonts w:ascii="Arial"/>
                <w:sz w:val="21"/>
                <w:highlight w:val="none"/>
              </w:rPr>
            </w:pPr>
          </w:p>
        </w:tc>
        <w:tc>
          <w:tcPr>
            <w:tcW w:w="792" w:type="dxa"/>
            <w:vAlign w:val="top"/>
          </w:tcPr>
          <w:p w14:paraId="55E4F7F2">
            <w:pPr>
              <w:rPr>
                <w:rFonts w:ascii="Arial"/>
                <w:sz w:val="21"/>
                <w:highlight w:val="none"/>
              </w:rPr>
            </w:pPr>
          </w:p>
        </w:tc>
        <w:tc>
          <w:tcPr>
            <w:tcW w:w="991" w:type="dxa"/>
            <w:vAlign w:val="top"/>
          </w:tcPr>
          <w:p w14:paraId="0B22D941">
            <w:pPr>
              <w:rPr>
                <w:rFonts w:ascii="Arial"/>
                <w:sz w:val="21"/>
                <w:highlight w:val="none"/>
              </w:rPr>
            </w:pPr>
          </w:p>
        </w:tc>
        <w:tc>
          <w:tcPr>
            <w:tcW w:w="1391" w:type="dxa"/>
            <w:vAlign w:val="top"/>
          </w:tcPr>
          <w:p w14:paraId="19715576">
            <w:pPr>
              <w:rPr>
                <w:rFonts w:ascii="Arial"/>
                <w:sz w:val="21"/>
                <w:highlight w:val="none"/>
              </w:rPr>
            </w:pPr>
          </w:p>
        </w:tc>
      </w:tr>
      <w:tr w14:paraId="192C7D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1312" w:type="dxa"/>
            <w:vAlign w:val="top"/>
          </w:tcPr>
          <w:p w14:paraId="50035773">
            <w:pPr>
              <w:rPr>
                <w:rFonts w:ascii="Arial"/>
                <w:sz w:val="21"/>
                <w:highlight w:val="none"/>
              </w:rPr>
            </w:pPr>
          </w:p>
        </w:tc>
        <w:tc>
          <w:tcPr>
            <w:tcW w:w="991" w:type="dxa"/>
            <w:vAlign w:val="top"/>
          </w:tcPr>
          <w:p w14:paraId="42C7C980">
            <w:pPr>
              <w:rPr>
                <w:rFonts w:ascii="Arial"/>
                <w:sz w:val="21"/>
                <w:highlight w:val="none"/>
              </w:rPr>
            </w:pPr>
          </w:p>
        </w:tc>
        <w:tc>
          <w:tcPr>
            <w:tcW w:w="1780" w:type="dxa"/>
            <w:vAlign w:val="top"/>
          </w:tcPr>
          <w:p w14:paraId="7AD204F0">
            <w:pPr>
              <w:rPr>
                <w:rFonts w:ascii="Arial"/>
                <w:sz w:val="21"/>
                <w:highlight w:val="none"/>
              </w:rPr>
            </w:pPr>
          </w:p>
        </w:tc>
        <w:tc>
          <w:tcPr>
            <w:tcW w:w="1387" w:type="dxa"/>
            <w:vAlign w:val="top"/>
          </w:tcPr>
          <w:p w14:paraId="3447A639">
            <w:pPr>
              <w:rPr>
                <w:rFonts w:ascii="Arial"/>
                <w:sz w:val="21"/>
                <w:highlight w:val="none"/>
              </w:rPr>
            </w:pPr>
          </w:p>
        </w:tc>
        <w:tc>
          <w:tcPr>
            <w:tcW w:w="991" w:type="dxa"/>
            <w:vAlign w:val="top"/>
          </w:tcPr>
          <w:p w14:paraId="0EB86311">
            <w:pPr>
              <w:rPr>
                <w:rFonts w:ascii="Arial"/>
                <w:sz w:val="21"/>
                <w:highlight w:val="none"/>
              </w:rPr>
            </w:pPr>
          </w:p>
        </w:tc>
        <w:tc>
          <w:tcPr>
            <w:tcW w:w="792" w:type="dxa"/>
            <w:vAlign w:val="top"/>
          </w:tcPr>
          <w:p w14:paraId="421F6E40">
            <w:pPr>
              <w:rPr>
                <w:rFonts w:ascii="Arial"/>
                <w:sz w:val="21"/>
                <w:highlight w:val="none"/>
              </w:rPr>
            </w:pPr>
          </w:p>
        </w:tc>
        <w:tc>
          <w:tcPr>
            <w:tcW w:w="991" w:type="dxa"/>
            <w:vAlign w:val="top"/>
          </w:tcPr>
          <w:p w14:paraId="2AA21637">
            <w:pPr>
              <w:rPr>
                <w:rFonts w:ascii="Arial"/>
                <w:sz w:val="21"/>
                <w:highlight w:val="none"/>
              </w:rPr>
            </w:pPr>
          </w:p>
        </w:tc>
        <w:tc>
          <w:tcPr>
            <w:tcW w:w="1391" w:type="dxa"/>
            <w:vAlign w:val="top"/>
          </w:tcPr>
          <w:p w14:paraId="478B8DB2">
            <w:pPr>
              <w:rPr>
                <w:rFonts w:ascii="Arial"/>
                <w:sz w:val="21"/>
                <w:highlight w:val="none"/>
              </w:rPr>
            </w:pPr>
          </w:p>
        </w:tc>
      </w:tr>
    </w:tbl>
    <w:p w14:paraId="0D1E0FD3">
      <w:pPr>
        <w:keepNext w:val="0"/>
        <w:keepLines w:val="0"/>
        <w:pageBreakBefore w:val="0"/>
        <w:widowControl w:val="0"/>
        <w:kinsoku/>
        <w:wordWrap/>
        <w:overflowPunct/>
        <w:topLinePunct w:val="0"/>
        <w:autoSpaceDE/>
        <w:autoSpaceDN/>
        <w:bidi w:val="0"/>
        <w:adjustRightInd/>
        <w:snapToGrid/>
        <w:spacing w:line="240" w:lineRule="auto"/>
        <w:ind w:left="0"/>
        <w:textAlignment w:val="auto"/>
        <w:rPr>
          <w:rFonts w:ascii="宋体" w:hAnsi="宋体" w:eastAsia="宋体" w:cs="宋体"/>
          <w:b/>
          <w:bCs/>
          <w:spacing w:val="-1"/>
          <w:sz w:val="21"/>
          <w:szCs w:val="21"/>
          <w:highlight w:val="none"/>
        </w:rPr>
      </w:pPr>
      <w:r>
        <w:rPr>
          <w:rFonts w:ascii="宋体" w:hAnsi="宋体" w:eastAsia="宋体" w:cs="宋体"/>
          <w:b/>
          <w:bCs/>
          <w:spacing w:val="-1"/>
          <w:sz w:val="21"/>
          <w:szCs w:val="21"/>
          <w:highlight w:val="none"/>
        </w:rPr>
        <w:t>注</w:t>
      </w:r>
      <w:r>
        <w:rPr>
          <w:rFonts w:ascii="宋体" w:hAnsi="宋体" w:eastAsia="宋体" w:cs="宋体"/>
          <w:spacing w:val="-49"/>
          <w:sz w:val="21"/>
          <w:szCs w:val="21"/>
          <w:highlight w:val="none"/>
        </w:rPr>
        <w:t xml:space="preserve"> </w:t>
      </w:r>
      <w:r>
        <w:rPr>
          <w:rFonts w:ascii="宋体" w:hAnsi="宋体" w:eastAsia="宋体" w:cs="宋体"/>
          <w:b/>
          <w:bCs/>
          <w:spacing w:val="-1"/>
          <w:sz w:val="21"/>
          <w:szCs w:val="21"/>
          <w:highlight w:val="none"/>
        </w:rPr>
        <w:t>:</w:t>
      </w:r>
      <w:r>
        <w:rPr>
          <w:rFonts w:ascii="宋体" w:hAnsi="宋体" w:eastAsia="宋体" w:cs="宋体"/>
          <w:spacing w:val="-1"/>
          <w:sz w:val="21"/>
          <w:szCs w:val="21"/>
          <w:highlight w:val="none"/>
        </w:rPr>
        <w:t xml:space="preserve"> </w:t>
      </w:r>
      <w:r>
        <w:rPr>
          <w:rFonts w:ascii="宋体" w:hAnsi="宋体" w:eastAsia="宋体" w:cs="宋体"/>
          <w:b/>
          <w:bCs/>
          <w:spacing w:val="-1"/>
          <w:sz w:val="21"/>
          <w:szCs w:val="21"/>
          <w:highlight w:val="none"/>
        </w:rPr>
        <w:t>1.以上人员数量不低于磋商文件要求；</w:t>
      </w:r>
    </w:p>
    <w:p w14:paraId="13DB37E2">
      <w:pPr>
        <w:keepNext w:val="0"/>
        <w:keepLines w:val="0"/>
        <w:pageBreakBefore w:val="0"/>
        <w:widowControl w:val="0"/>
        <w:numPr>
          <w:ilvl w:val="0"/>
          <w:numId w:val="5"/>
        </w:numPr>
        <w:kinsoku/>
        <w:wordWrap/>
        <w:overflowPunct/>
        <w:topLinePunct w:val="0"/>
        <w:autoSpaceDE/>
        <w:autoSpaceDN/>
        <w:bidi w:val="0"/>
        <w:adjustRightInd/>
        <w:snapToGrid/>
        <w:spacing w:line="240" w:lineRule="auto"/>
        <w:ind w:left="0" w:leftChars="0" w:firstLine="400" w:firstLineChars="0"/>
        <w:textAlignment w:val="auto"/>
        <w:rPr>
          <w:rFonts w:ascii="宋体" w:hAnsi="宋体" w:eastAsia="宋体" w:cs="宋体"/>
          <w:b/>
          <w:bCs/>
          <w:spacing w:val="-1"/>
          <w:sz w:val="21"/>
          <w:szCs w:val="21"/>
          <w:highlight w:val="none"/>
        </w:rPr>
      </w:pPr>
      <w:r>
        <w:rPr>
          <w:rFonts w:ascii="宋体" w:hAnsi="宋体" w:eastAsia="宋体" w:cs="宋体"/>
          <w:b/>
          <w:bCs/>
          <w:spacing w:val="-1"/>
          <w:sz w:val="21"/>
          <w:szCs w:val="21"/>
          <w:highlight w:val="none"/>
        </w:rPr>
        <w:t>此表列数不够，可续表；</w:t>
      </w:r>
    </w:p>
    <w:p w14:paraId="79FEE754">
      <w:pPr>
        <w:keepNext w:val="0"/>
        <w:keepLines w:val="0"/>
        <w:pageBreakBefore w:val="0"/>
        <w:widowControl w:val="0"/>
        <w:numPr>
          <w:ilvl w:val="0"/>
          <w:numId w:val="5"/>
        </w:numPr>
        <w:kinsoku/>
        <w:wordWrap/>
        <w:overflowPunct/>
        <w:topLinePunct w:val="0"/>
        <w:autoSpaceDE/>
        <w:autoSpaceDN/>
        <w:bidi w:val="0"/>
        <w:adjustRightInd/>
        <w:snapToGrid/>
        <w:spacing w:line="240" w:lineRule="auto"/>
        <w:ind w:left="0" w:leftChars="0" w:firstLine="400" w:firstLineChars="0"/>
        <w:textAlignment w:val="auto"/>
        <w:rPr>
          <w:rFonts w:ascii="宋体" w:hAnsi="宋体" w:eastAsia="宋体" w:cs="宋体"/>
          <w:sz w:val="21"/>
          <w:szCs w:val="21"/>
          <w:highlight w:val="none"/>
        </w:rPr>
      </w:pPr>
      <w:r>
        <w:rPr>
          <w:rFonts w:ascii="宋体" w:hAnsi="宋体" w:eastAsia="宋体" w:cs="宋体"/>
          <w:b/>
          <w:bCs/>
          <w:spacing w:val="-1"/>
          <w:sz w:val="21"/>
          <w:szCs w:val="21"/>
          <w:highlight w:val="none"/>
        </w:rPr>
        <w:t>以上人员需提供有关证书资料附后</w:t>
      </w:r>
    </w:p>
    <w:p w14:paraId="0F725243">
      <w:pPr>
        <w:pStyle w:val="10"/>
        <w:spacing w:line="270" w:lineRule="auto"/>
        <w:rPr>
          <w:highlight w:val="none"/>
        </w:rPr>
      </w:pPr>
    </w:p>
    <w:p w14:paraId="244CFBBF">
      <w:pPr>
        <w:pStyle w:val="10"/>
        <w:spacing w:line="270" w:lineRule="auto"/>
        <w:rPr>
          <w:highlight w:val="none"/>
        </w:rPr>
      </w:pPr>
    </w:p>
    <w:p w14:paraId="27806CA9">
      <w:pPr>
        <w:keepNext w:val="0"/>
        <w:keepLines w:val="0"/>
        <w:pageBreakBefore w:val="0"/>
        <w:widowControl w:val="0"/>
        <w:kinsoku/>
        <w:wordWrap/>
        <w:overflowPunct/>
        <w:topLinePunct w:val="0"/>
        <w:autoSpaceDE/>
        <w:autoSpaceDN/>
        <w:bidi w:val="0"/>
        <w:adjustRightInd/>
        <w:snapToGrid/>
        <w:spacing w:line="480" w:lineRule="auto"/>
        <w:ind w:left="0"/>
        <w:textAlignment w:val="auto"/>
        <w:rPr>
          <w:rFonts w:ascii="宋体" w:hAnsi="宋体" w:eastAsia="宋体" w:cs="宋体"/>
          <w:sz w:val="24"/>
          <w:szCs w:val="24"/>
          <w:highlight w:val="none"/>
        </w:rPr>
      </w:pPr>
      <w:r>
        <w:rPr>
          <w:rFonts w:ascii="宋体" w:hAnsi="宋体" w:eastAsia="宋体" w:cs="宋体"/>
          <w:spacing w:val="-2"/>
          <w:sz w:val="24"/>
          <w:szCs w:val="24"/>
          <w:highlight w:val="none"/>
        </w:rPr>
        <w:t>供应商</w:t>
      </w:r>
      <w:r>
        <w:rPr>
          <w:rFonts w:ascii="宋体" w:hAnsi="宋体" w:eastAsia="宋体" w:cs="宋体"/>
          <w:spacing w:val="4"/>
          <w:sz w:val="24"/>
          <w:szCs w:val="24"/>
          <w:highlight w:val="none"/>
        </w:rPr>
        <w:t>：</w:t>
      </w:r>
      <w:r>
        <w:rPr>
          <w:rFonts w:ascii="宋体" w:hAnsi="宋体" w:eastAsia="宋体" w:cs="宋体"/>
          <w:spacing w:val="1"/>
          <w:sz w:val="24"/>
          <w:szCs w:val="24"/>
          <w:highlight w:val="none"/>
          <w:u w:val="single" w:color="auto"/>
        </w:rPr>
        <w:t xml:space="preserve">                     </w:t>
      </w:r>
      <w:r>
        <w:rPr>
          <w:rFonts w:ascii="宋体" w:hAnsi="宋体" w:eastAsia="宋体" w:cs="宋体"/>
          <w:spacing w:val="4"/>
          <w:sz w:val="24"/>
          <w:szCs w:val="24"/>
          <w:highlight w:val="none"/>
        </w:rPr>
        <w:t>（</w:t>
      </w:r>
      <w:r>
        <w:rPr>
          <w:rFonts w:ascii="宋体" w:hAnsi="宋体" w:eastAsia="宋体" w:cs="宋体"/>
          <w:spacing w:val="-2"/>
          <w:sz w:val="24"/>
          <w:szCs w:val="24"/>
          <w:highlight w:val="none"/>
        </w:rPr>
        <w:t>盖单位章）</w:t>
      </w:r>
    </w:p>
    <w:p w14:paraId="1E66D2ED">
      <w:pPr>
        <w:keepNext w:val="0"/>
        <w:keepLines w:val="0"/>
        <w:pageBreakBefore w:val="0"/>
        <w:widowControl w:val="0"/>
        <w:kinsoku/>
        <w:wordWrap/>
        <w:overflowPunct/>
        <w:topLinePunct w:val="0"/>
        <w:autoSpaceDE/>
        <w:autoSpaceDN/>
        <w:bidi w:val="0"/>
        <w:adjustRightInd/>
        <w:snapToGrid/>
        <w:spacing w:line="480" w:lineRule="auto"/>
        <w:ind w:left="0"/>
        <w:textAlignment w:val="auto"/>
        <w:rPr>
          <w:rFonts w:ascii="宋体" w:hAnsi="宋体" w:eastAsia="宋体" w:cs="宋体"/>
          <w:spacing w:val="2"/>
          <w:sz w:val="24"/>
          <w:szCs w:val="24"/>
          <w:highlight w:val="none"/>
        </w:rPr>
      </w:pPr>
      <w:r>
        <w:rPr>
          <w:rFonts w:ascii="宋体" w:hAnsi="宋体" w:eastAsia="宋体" w:cs="宋体"/>
          <w:spacing w:val="2"/>
          <w:sz w:val="24"/>
          <w:szCs w:val="24"/>
          <w:highlight w:val="none"/>
        </w:rPr>
        <w:t>供应商法定代表人或其委托代理人</w:t>
      </w:r>
      <w:r>
        <w:rPr>
          <w:rFonts w:ascii="宋体" w:hAnsi="宋体" w:eastAsia="宋体" w:cs="宋体"/>
          <w:spacing w:val="-15"/>
          <w:sz w:val="24"/>
          <w:szCs w:val="24"/>
          <w:highlight w:val="none"/>
        </w:rPr>
        <w:t>：</w:t>
      </w:r>
      <w:r>
        <w:rPr>
          <w:rFonts w:ascii="宋体" w:hAnsi="宋体" w:eastAsia="宋体" w:cs="宋体"/>
          <w:spacing w:val="1"/>
          <w:sz w:val="24"/>
          <w:szCs w:val="24"/>
          <w:highlight w:val="none"/>
          <w:u w:val="single" w:color="auto"/>
        </w:rPr>
        <w:t xml:space="preserve">         </w:t>
      </w:r>
      <w:r>
        <w:rPr>
          <w:rFonts w:ascii="宋体" w:hAnsi="宋体" w:eastAsia="宋体" w:cs="宋体"/>
          <w:spacing w:val="-15"/>
          <w:sz w:val="24"/>
          <w:szCs w:val="24"/>
          <w:highlight w:val="none"/>
        </w:rPr>
        <w:t>（</w:t>
      </w:r>
      <w:r>
        <w:rPr>
          <w:rFonts w:ascii="宋体" w:hAnsi="宋体" w:eastAsia="宋体" w:cs="宋体"/>
          <w:spacing w:val="2"/>
          <w:sz w:val="24"/>
          <w:szCs w:val="24"/>
          <w:highlight w:val="none"/>
        </w:rPr>
        <w:t xml:space="preserve">签字或盖章） </w:t>
      </w:r>
    </w:p>
    <w:p w14:paraId="71419E4C">
      <w:pPr>
        <w:keepNext w:val="0"/>
        <w:keepLines w:val="0"/>
        <w:pageBreakBefore w:val="0"/>
        <w:widowControl w:val="0"/>
        <w:kinsoku/>
        <w:wordWrap/>
        <w:overflowPunct/>
        <w:topLinePunct w:val="0"/>
        <w:autoSpaceDE/>
        <w:autoSpaceDN/>
        <w:bidi w:val="0"/>
        <w:adjustRightInd/>
        <w:snapToGrid/>
        <w:spacing w:line="480" w:lineRule="auto"/>
        <w:ind w:left="0"/>
        <w:textAlignment w:val="auto"/>
        <w:rPr>
          <w:rFonts w:ascii="宋体" w:hAnsi="宋体" w:eastAsia="宋体" w:cs="宋体"/>
          <w:spacing w:val="-9"/>
          <w:sz w:val="24"/>
          <w:szCs w:val="24"/>
          <w:highlight w:val="none"/>
        </w:rPr>
      </w:pPr>
      <w:r>
        <w:rPr>
          <w:rFonts w:hint="eastAsia" w:ascii="宋体" w:hAnsi="宋体" w:eastAsia="宋体" w:cs="宋体"/>
          <w:spacing w:val="2"/>
          <w:sz w:val="24"/>
          <w:szCs w:val="24"/>
          <w:highlight w:val="none"/>
          <w:lang w:val="en-US" w:eastAsia="zh-CN"/>
        </w:rPr>
        <w:t>日期：</w:t>
      </w:r>
      <w:r>
        <w:rPr>
          <w:rFonts w:hint="eastAsia" w:ascii="宋体" w:hAnsi="宋体" w:eastAsia="宋体" w:cs="宋体"/>
          <w:spacing w:val="2"/>
          <w:sz w:val="24"/>
          <w:szCs w:val="24"/>
          <w:highlight w:val="none"/>
          <w:u w:val="single"/>
          <w:lang w:val="en-US" w:eastAsia="zh-CN"/>
        </w:rPr>
        <w:t xml:space="preserve">        </w:t>
      </w:r>
      <w:r>
        <w:rPr>
          <w:rFonts w:ascii="宋体" w:hAnsi="宋体" w:eastAsia="宋体" w:cs="宋体"/>
          <w:sz w:val="24"/>
          <w:szCs w:val="24"/>
          <w:highlight w:val="none"/>
          <w:u w:val="single" w:color="auto"/>
        </w:rPr>
        <w:tab/>
      </w:r>
      <w:r>
        <w:rPr>
          <w:rFonts w:ascii="宋体" w:hAnsi="宋体" w:eastAsia="宋体" w:cs="宋体"/>
          <w:spacing w:val="-110"/>
          <w:sz w:val="24"/>
          <w:szCs w:val="24"/>
          <w:highlight w:val="none"/>
        </w:rPr>
        <w:t xml:space="preserve"> </w:t>
      </w:r>
      <w:r>
        <w:rPr>
          <w:rFonts w:ascii="宋体" w:hAnsi="宋体" w:eastAsia="宋体" w:cs="宋体"/>
          <w:spacing w:val="-9"/>
          <w:sz w:val="24"/>
          <w:szCs w:val="24"/>
          <w:highlight w:val="none"/>
        </w:rPr>
        <w:t>年</w:t>
      </w:r>
      <w:r>
        <w:rPr>
          <w:rFonts w:ascii="宋体" w:hAnsi="宋体" w:eastAsia="宋体" w:cs="宋体"/>
          <w:spacing w:val="1"/>
          <w:sz w:val="24"/>
          <w:szCs w:val="24"/>
          <w:highlight w:val="none"/>
          <w:u w:val="single" w:color="auto"/>
        </w:rPr>
        <w:t xml:space="preserve">         </w:t>
      </w:r>
      <w:r>
        <w:rPr>
          <w:rFonts w:ascii="宋体" w:hAnsi="宋体" w:eastAsia="宋体" w:cs="宋体"/>
          <w:spacing w:val="-102"/>
          <w:sz w:val="24"/>
          <w:szCs w:val="24"/>
          <w:highlight w:val="none"/>
        </w:rPr>
        <w:t xml:space="preserve"> </w:t>
      </w:r>
      <w:r>
        <w:rPr>
          <w:rFonts w:ascii="宋体" w:hAnsi="宋体" w:eastAsia="宋体" w:cs="宋体"/>
          <w:spacing w:val="-9"/>
          <w:sz w:val="24"/>
          <w:szCs w:val="24"/>
          <w:highlight w:val="none"/>
        </w:rPr>
        <w:t>月</w:t>
      </w:r>
      <w:r>
        <w:rPr>
          <w:rFonts w:ascii="宋体" w:hAnsi="宋体" w:eastAsia="宋体" w:cs="宋体"/>
          <w:spacing w:val="1"/>
          <w:sz w:val="24"/>
          <w:szCs w:val="24"/>
          <w:highlight w:val="none"/>
          <w:u w:val="single" w:color="auto"/>
        </w:rPr>
        <w:t xml:space="preserve">         </w:t>
      </w:r>
      <w:r>
        <w:rPr>
          <w:rFonts w:ascii="宋体" w:hAnsi="宋体" w:eastAsia="宋体" w:cs="宋体"/>
          <w:spacing w:val="-68"/>
          <w:sz w:val="24"/>
          <w:szCs w:val="24"/>
          <w:highlight w:val="none"/>
        </w:rPr>
        <w:t xml:space="preserve"> </w:t>
      </w:r>
      <w:r>
        <w:rPr>
          <w:rFonts w:ascii="宋体" w:hAnsi="宋体" w:eastAsia="宋体" w:cs="宋体"/>
          <w:spacing w:val="-9"/>
          <w:sz w:val="24"/>
          <w:szCs w:val="24"/>
          <w:highlight w:val="none"/>
        </w:rPr>
        <w:t>日</w:t>
      </w:r>
    </w:p>
    <w:p w14:paraId="17B139C6">
      <w:pPr>
        <w:rPr>
          <w:rFonts w:hint="eastAsia" w:ascii="宋体" w:hAnsi="宋体" w:eastAsia="宋体" w:cs="宋体"/>
          <w:b/>
          <w:bCs/>
          <w:sz w:val="32"/>
          <w:szCs w:val="32"/>
          <w:highlight w:val="none"/>
          <w:lang w:val="en-US" w:eastAsia="zh-CN"/>
        </w:rPr>
      </w:pPr>
      <w:r>
        <w:rPr>
          <w:rFonts w:hint="eastAsia" w:ascii="宋体" w:hAnsi="宋体" w:eastAsia="宋体" w:cs="宋体"/>
          <w:b/>
          <w:bCs/>
          <w:sz w:val="32"/>
          <w:szCs w:val="32"/>
          <w:highlight w:val="none"/>
          <w:lang w:val="en-US" w:eastAsia="zh-CN"/>
        </w:rPr>
        <w:br w:type="page"/>
      </w:r>
    </w:p>
    <w:p w14:paraId="09521EE0">
      <w:pPr>
        <w:spacing w:before="91" w:line="219" w:lineRule="auto"/>
        <w:ind w:left="146"/>
        <w:rPr>
          <w:rFonts w:ascii="宋体" w:hAnsi="宋体" w:eastAsia="宋体" w:cs="宋体"/>
          <w:sz w:val="28"/>
          <w:szCs w:val="28"/>
          <w:highlight w:val="none"/>
        </w:rPr>
      </w:pPr>
      <w:r>
        <w:rPr>
          <w:rFonts w:ascii="宋体" w:hAnsi="宋体" w:eastAsia="宋体" w:cs="宋体"/>
          <w:b/>
          <w:bCs/>
          <w:spacing w:val="-4"/>
          <w:sz w:val="28"/>
          <w:szCs w:val="28"/>
          <w:highlight w:val="none"/>
        </w:rPr>
        <w:t>附表</w:t>
      </w:r>
      <w:r>
        <w:rPr>
          <w:rFonts w:ascii="宋体" w:hAnsi="宋体" w:eastAsia="宋体" w:cs="宋体"/>
          <w:spacing w:val="-45"/>
          <w:sz w:val="28"/>
          <w:szCs w:val="28"/>
          <w:highlight w:val="none"/>
        </w:rPr>
        <w:t xml:space="preserve"> </w:t>
      </w:r>
      <w:r>
        <w:rPr>
          <w:rFonts w:ascii="宋体" w:hAnsi="宋体" w:eastAsia="宋体" w:cs="宋体"/>
          <w:b/>
          <w:bCs/>
          <w:spacing w:val="-4"/>
          <w:sz w:val="28"/>
          <w:szCs w:val="28"/>
          <w:highlight w:val="none"/>
        </w:rPr>
        <w:t>4：计划用于本工程的仪器设备</w:t>
      </w:r>
    </w:p>
    <w:p w14:paraId="6D2D7157">
      <w:pPr>
        <w:spacing w:line="119" w:lineRule="exact"/>
        <w:rPr>
          <w:highlight w:val="none"/>
        </w:rPr>
      </w:pPr>
    </w:p>
    <w:tbl>
      <w:tblPr>
        <w:tblStyle w:val="58"/>
        <w:tblW w:w="944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9"/>
        <w:gridCol w:w="1180"/>
        <w:gridCol w:w="926"/>
        <w:gridCol w:w="1926"/>
        <w:gridCol w:w="1934"/>
        <w:gridCol w:w="1253"/>
        <w:gridCol w:w="1295"/>
      </w:tblGrid>
      <w:tr w14:paraId="188AEC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trPr>
        <w:tc>
          <w:tcPr>
            <w:tcW w:w="929" w:type="dxa"/>
            <w:vAlign w:val="center"/>
          </w:tcPr>
          <w:p w14:paraId="221131CB">
            <w:pPr>
              <w:pStyle w:val="68"/>
              <w:keepNext w:val="0"/>
              <w:keepLines w:val="0"/>
              <w:pageBreakBefore w:val="0"/>
              <w:widowControl w:val="0"/>
              <w:kinsoku/>
              <w:wordWrap/>
              <w:overflowPunct/>
              <w:topLinePunct w:val="0"/>
              <w:autoSpaceDE/>
              <w:autoSpaceDN/>
              <w:bidi w:val="0"/>
              <w:adjustRightInd w:val="0"/>
              <w:snapToGrid w:val="0"/>
              <w:spacing w:before="78" w:line="240" w:lineRule="auto"/>
              <w:jc w:val="center"/>
              <w:textAlignment w:val="auto"/>
              <w:rPr>
                <w:sz w:val="24"/>
                <w:szCs w:val="24"/>
                <w:highlight w:val="none"/>
              </w:rPr>
            </w:pPr>
            <w:r>
              <w:rPr>
                <w:spacing w:val="-2"/>
                <w:sz w:val="24"/>
                <w:szCs w:val="24"/>
                <w:highlight w:val="none"/>
              </w:rPr>
              <w:t>序号</w:t>
            </w:r>
          </w:p>
        </w:tc>
        <w:tc>
          <w:tcPr>
            <w:tcW w:w="1180" w:type="dxa"/>
            <w:vAlign w:val="center"/>
          </w:tcPr>
          <w:p w14:paraId="45CFC0B7">
            <w:pPr>
              <w:pStyle w:val="68"/>
              <w:keepNext w:val="0"/>
              <w:keepLines w:val="0"/>
              <w:pageBreakBefore w:val="0"/>
              <w:widowControl w:val="0"/>
              <w:kinsoku/>
              <w:wordWrap/>
              <w:overflowPunct/>
              <w:topLinePunct w:val="0"/>
              <w:autoSpaceDE/>
              <w:autoSpaceDN/>
              <w:bidi w:val="0"/>
              <w:adjustRightInd w:val="0"/>
              <w:snapToGrid w:val="0"/>
              <w:spacing w:before="199" w:line="240" w:lineRule="auto"/>
              <w:jc w:val="center"/>
              <w:textAlignment w:val="auto"/>
              <w:rPr>
                <w:sz w:val="24"/>
                <w:szCs w:val="24"/>
                <w:highlight w:val="none"/>
              </w:rPr>
            </w:pPr>
            <w:r>
              <w:rPr>
                <w:spacing w:val="-3"/>
                <w:sz w:val="24"/>
                <w:szCs w:val="24"/>
                <w:highlight w:val="none"/>
              </w:rPr>
              <w:t>设备</w:t>
            </w:r>
          </w:p>
          <w:p w14:paraId="0B4D70FC">
            <w:pPr>
              <w:pStyle w:val="68"/>
              <w:keepNext w:val="0"/>
              <w:keepLines w:val="0"/>
              <w:pageBreakBefore w:val="0"/>
              <w:widowControl w:val="0"/>
              <w:kinsoku/>
              <w:wordWrap/>
              <w:overflowPunct/>
              <w:topLinePunct w:val="0"/>
              <w:autoSpaceDE/>
              <w:autoSpaceDN/>
              <w:bidi w:val="0"/>
              <w:adjustRightInd w:val="0"/>
              <w:snapToGrid w:val="0"/>
              <w:spacing w:before="78" w:line="240" w:lineRule="auto"/>
              <w:ind w:left="355"/>
              <w:jc w:val="both"/>
              <w:textAlignment w:val="auto"/>
              <w:rPr>
                <w:sz w:val="24"/>
                <w:szCs w:val="24"/>
                <w:highlight w:val="none"/>
              </w:rPr>
            </w:pPr>
            <w:r>
              <w:rPr>
                <w:spacing w:val="-3"/>
                <w:sz w:val="24"/>
                <w:szCs w:val="24"/>
                <w:highlight w:val="none"/>
              </w:rPr>
              <w:t>名称</w:t>
            </w:r>
          </w:p>
        </w:tc>
        <w:tc>
          <w:tcPr>
            <w:tcW w:w="926" w:type="dxa"/>
            <w:vAlign w:val="center"/>
          </w:tcPr>
          <w:p w14:paraId="7FF1913A">
            <w:pPr>
              <w:pStyle w:val="68"/>
              <w:keepNext w:val="0"/>
              <w:keepLines w:val="0"/>
              <w:pageBreakBefore w:val="0"/>
              <w:widowControl w:val="0"/>
              <w:kinsoku/>
              <w:wordWrap/>
              <w:overflowPunct/>
              <w:topLinePunct w:val="0"/>
              <w:autoSpaceDE/>
              <w:autoSpaceDN/>
              <w:bidi w:val="0"/>
              <w:adjustRightInd w:val="0"/>
              <w:snapToGrid w:val="0"/>
              <w:spacing w:before="78" w:line="240" w:lineRule="auto"/>
              <w:jc w:val="center"/>
              <w:textAlignment w:val="auto"/>
              <w:rPr>
                <w:sz w:val="24"/>
                <w:szCs w:val="24"/>
                <w:highlight w:val="none"/>
              </w:rPr>
            </w:pPr>
            <w:r>
              <w:rPr>
                <w:spacing w:val="-4"/>
                <w:sz w:val="24"/>
                <w:szCs w:val="24"/>
                <w:highlight w:val="none"/>
              </w:rPr>
              <w:t>型号</w:t>
            </w:r>
          </w:p>
        </w:tc>
        <w:tc>
          <w:tcPr>
            <w:tcW w:w="1926" w:type="dxa"/>
            <w:vAlign w:val="center"/>
          </w:tcPr>
          <w:p w14:paraId="4772F781">
            <w:pPr>
              <w:pStyle w:val="68"/>
              <w:keepNext w:val="0"/>
              <w:keepLines w:val="0"/>
              <w:pageBreakBefore w:val="0"/>
              <w:widowControl w:val="0"/>
              <w:kinsoku/>
              <w:wordWrap/>
              <w:overflowPunct/>
              <w:topLinePunct w:val="0"/>
              <w:autoSpaceDE/>
              <w:autoSpaceDN/>
              <w:bidi w:val="0"/>
              <w:adjustRightInd w:val="0"/>
              <w:snapToGrid w:val="0"/>
              <w:spacing w:before="198" w:line="240" w:lineRule="auto"/>
              <w:jc w:val="center"/>
              <w:textAlignment w:val="auto"/>
              <w:rPr>
                <w:sz w:val="24"/>
                <w:szCs w:val="24"/>
                <w:highlight w:val="none"/>
              </w:rPr>
            </w:pPr>
            <w:r>
              <w:rPr>
                <w:spacing w:val="-1"/>
                <w:sz w:val="24"/>
                <w:szCs w:val="24"/>
                <w:highlight w:val="none"/>
              </w:rPr>
              <w:t>制造年份及</w:t>
            </w:r>
          </w:p>
          <w:p w14:paraId="075F287C">
            <w:pPr>
              <w:pStyle w:val="68"/>
              <w:keepNext w:val="0"/>
              <w:keepLines w:val="0"/>
              <w:pageBreakBefore w:val="0"/>
              <w:widowControl w:val="0"/>
              <w:kinsoku/>
              <w:wordWrap/>
              <w:overflowPunct/>
              <w:topLinePunct w:val="0"/>
              <w:autoSpaceDE/>
              <w:autoSpaceDN/>
              <w:bidi w:val="0"/>
              <w:adjustRightInd w:val="0"/>
              <w:snapToGrid w:val="0"/>
              <w:spacing w:before="78" w:line="240" w:lineRule="auto"/>
              <w:ind w:left="487"/>
              <w:jc w:val="both"/>
              <w:textAlignment w:val="auto"/>
              <w:rPr>
                <w:sz w:val="24"/>
                <w:szCs w:val="24"/>
                <w:highlight w:val="none"/>
              </w:rPr>
            </w:pPr>
            <w:r>
              <w:rPr>
                <w:spacing w:val="-2"/>
                <w:sz w:val="24"/>
                <w:szCs w:val="24"/>
                <w:highlight w:val="none"/>
              </w:rPr>
              <w:t>使用年限</w:t>
            </w:r>
          </w:p>
        </w:tc>
        <w:tc>
          <w:tcPr>
            <w:tcW w:w="1934" w:type="dxa"/>
            <w:vAlign w:val="center"/>
          </w:tcPr>
          <w:p w14:paraId="1DB46DEF">
            <w:pPr>
              <w:pStyle w:val="68"/>
              <w:keepNext w:val="0"/>
              <w:keepLines w:val="0"/>
              <w:pageBreakBefore w:val="0"/>
              <w:widowControl w:val="0"/>
              <w:kinsoku/>
              <w:wordWrap/>
              <w:overflowPunct/>
              <w:topLinePunct w:val="0"/>
              <w:autoSpaceDE/>
              <w:autoSpaceDN/>
              <w:bidi w:val="0"/>
              <w:adjustRightInd w:val="0"/>
              <w:snapToGrid w:val="0"/>
              <w:spacing w:before="198" w:line="240" w:lineRule="auto"/>
              <w:jc w:val="center"/>
              <w:textAlignment w:val="auto"/>
              <w:rPr>
                <w:sz w:val="24"/>
                <w:szCs w:val="24"/>
                <w:highlight w:val="none"/>
              </w:rPr>
            </w:pPr>
            <w:r>
              <w:rPr>
                <w:spacing w:val="-3"/>
                <w:sz w:val="24"/>
                <w:szCs w:val="24"/>
                <w:highlight w:val="none"/>
              </w:rPr>
              <w:t>现状</w:t>
            </w:r>
          </w:p>
          <w:p w14:paraId="290DEA80">
            <w:pPr>
              <w:pStyle w:val="68"/>
              <w:keepNext w:val="0"/>
              <w:keepLines w:val="0"/>
              <w:pageBreakBefore w:val="0"/>
              <w:widowControl w:val="0"/>
              <w:kinsoku/>
              <w:wordWrap/>
              <w:overflowPunct/>
              <w:topLinePunct w:val="0"/>
              <w:autoSpaceDE/>
              <w:autoSpaceDN/>
              <w:bidi w:val="0"/>
              <w:adjustRightInd w:val="0"/>
              <w:snapToGrid w:val="0"/>
              <w:spacing w:before="78" w:line="240" w:lineRule="auto"/>
              <w:ind w:left="254"/>
              <w:jc w:val="both"/>
              <w:textAlignment w:val="auto"/>
              <w:rPr>
                <w:sz w:val="24"/>
                <w:szCs w:val="24"/>
                <w:highlight w:val="none"/>
              </w:rPr>
            </w:pPr>
            <w:r>
              <w:rPr>
                <w:spacing w:val="-2"/>
                <w:sz w:val="24"/>
                <w:szCs w:val="24"/>
                <w:highlight w:val="none"/>
              </w:rPr>
              <w:t>（新旧程度）</w:t>
            </w:r>
          </w:p>
        </w:tc>
        <w:tc>
          <w:tcPr>
            <w:tcW w:w="1253" w:type="dxa"/>
            <w:vAlign w:val="center"/>
          </w:tcPr>
          <w:p w14:paraId="78950E4A">
            <w:pPr>
              <w:pStyle w:val="68"/>
              <w:keepNext w:val="0"/>
              <w:keepLines w:val="0"/>
              <w:pageBreakBefore w:val="0"/>
              <w:widowControl w:val="0"/>
              <w:kinsoku/>
              <w:wordWrap/>
              <w:overflowPunct/>
              <w:topLinePunct w:val="0"/>
              <w:autoSpaceDE/>
              <w:autoSpaceDN/>
              <w:bidi w:val="0"/>
              <w:adjustRightInd w:val="0"/>
              <w:snapToGrid w:val="0"/>
              <w:spacing w:before="78" w:line="240" w:lineRule="auto"/>
              <w:jc w:val="center"/>
              <w:textAlignment w:val="auto"/>
              <w:rPr>
                <w:sz w:val="24"/>
                <w:szCs w:val="24"/>
                <w:highlight w:val="none"/>
              </w:rPr>
            </w:pPr>
            <w:r>
              <w:rPr>
                <w:spacing w:val="-3"/>
                <w:sz w:val="24"/>
                <w:szCs w:val="24"/>
                <w:highlight w:val="none"/>
              </w:rPr>
              <w:t>数量</w:t>
            </w:r>
          </w:p>
        </w:tc>
        <w:tc>
          <w:tcPr>
            <w:tcW w:w="1295" w:type="dxa"/>
            <w:vAlign w:val="center"/>
          </w:tcPr>
          <w:p w14:paraId="7B3B0F2A">
            <w:pPr>
              <w:pStyle w:val="68"/>
              <w:keepNext w:val="0"/>
              <w:keepLines w:val="0"/>
              <w:pageBreakBefore w:val="0"/>
              <w:widowControl w:val="0"/>
              <w:kinsoku/>
              <w:wordWrap/>
              <w:overflowPunct/>
              <w:topLinePunct w:val="0"/>
              <w:autoSpaceDE/>
              <w:autoSpaceDN/>
              <w:bidi w:val="0"/>
              <w:adjustRightInd w:val="0"/>
              <w:snapToGrid w:val="0"/>
              <w:spacing w:before="199" w:line="240" w:lineRule="auto"/>
              <w:jc w:val="center"/>
              <w:textAlignment w:val="auto"/>
              <w:rPr>
                <w:sz w:val="24"/>
                <w:szCs w:val="24"/>
                <w:highlight w:val="none"/>
              </w:rPr>
            </w:pPr>
            <w:r>
              <w:rPr>
                <w:spacing w:val="-16"/>
                <w:sz w:val="24"/>
                <w:szCs w:val="24"/>
                <w:highlight w:val="none"/>
              </w:rPr>
              <w:t>自有或</w:t>
            </w:r>
          </w:p>
          <w:p w14:paraId="0FEBC632">
            <w:pPr>
              <w:pStyle w:val="68"/>
              <w:keepNext w:val="0"/>
              <w:keepLines w:val="0"/>
              <w:pageBreakBefore w:val="0"/>
              <w:widowControl w:val="0"/>
              <w:kinsoku/>
              <w:wordWrap/>
              <w:overflowPunct/>
              <w:topLinePunct w:val="0"/>
              <w:autoSpaceDE/>
              <w:autoSpaceDN/>
              <w:bidi w:val="0"/>
              <w:adjustRightInd w:val="0"/>
              <w:snapToGrid w:val="0"/>
              <w:spacing w:before="78" w:line="240" w:lineRule="auto"/>
              <w:ind w:left="413"/>
              <w:jc w:val="both"/>
              <w:textAlignment w:val="auto"/>
              <w:rPr>
                <w:sz w:val="24"/>
                <w:szCs w:val="24"/>
                <w:highlight w:val="none"/>
              </w:rPr>
            </w:pPr>
            <w:r>
              <w:rPr>
                <w:spacing w:val="-3"/>
                <w:sz w:val="24"/>
                <w:szCs w:val="24"/>
                <w:highlight w:val="none"/>
              </w:rPr>
              <w:t>租赁</w:t>
            </w:r>
          </w:p>
        </w:tc>
      </w:tr>
      <w:tr w14:paraId="0444B2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29" w:type="dxa"/>
            <w:vAlign w:val="top"/>
          </w:tcPr>
          <w:p w14:paraId="18CDFA00">
            <w:pPr>
              <w:rPr>
                <w:rFonts w:ascii="Arial"/>
                <w:sz w:val="21"/>
                <w:highlight w:val="none"/>
              </w:rPr>
            </w:pPr>
          </w:p>
        </w:tc>
        <w:tc>
          <w:tcPr>
            <w:tcW w:w="1180" w:type="dxa"/>
            <w:vAlign w:val="top"/>
          </w:tcPr>
          <w:p w14:paraId="1E1AD8FB">
            <w:pPr>
              <w:rPr>
                <w:rFonts w:ascii="Arial"/>
                <w:sz w:val="21"/>
                <w:highlight w:val="none"/>
              </w:rPr>
            </w:pPr>
          </w:p>
        </w:tc>
        <w:tc>
          <w:tcPr>
            <w:tcW w:w="926" w:type="dxa"/>
            <w:vAlign w:val="top"/>
          </w:tcPr>
          <w:p w14:paraId="71FAE0B0">
            <w:pPr>
              <w:rPr>
                <w:rFonts w:ascii="Arial"/>
                <w:sz w:val="21"/>
                <w:highlight w:val="none"/>
              </w:rPr>
            </w:pPr>
          </w:p>
        </w:tc>
        <w:tc>
          <w:tcPr>
            <w:tcW w:w="1926" w:type="dxa"/>
            <w:vAlign w:val="top"/>
          </w:tcPr>
          <w:p w14:paraId="3AB4B5A0">
            <w:pPr>
              <w:rPr>
                <w:rFonts w:ascii="Arial"/>
                <w:sz w:val="21"/>
                <w:highlight w:val="none"/>
              </w:rPr>
            </w:pPr>
          </w:p>
        </w:tc>
        <w:tc>
          <w:tcPr>
            <w:tcW w:w="1934" w:type="dxa"/>
            <w:vAlign w:val="top"/>
          </w:tcPr>
          <w:p w14:paraId="6E253FC0">
            <w:pPr>
              <w:rPr>
                <w:rFonts w:ascii="Arial"/>
                <w:sz w:val="21"/>
                <w:highlight w:val="none"/>
              </w:rPr>
            </w:pPr>
          </w:p>
        </w:tc>
        <w:tc>
          <w:tcPr>
            <w:tcW w:w="1253" w:type="dxa"/>
            <w:vAlign w:val="top"/>
          </w:tcPr>
          <w:p w14:paraId="42E0905B">
            <w:pPr>
              <w:rPr>
                <w:rFonts w:ascii="Arial"/>
                <w:sz w:val="21"/>
                <w:highlight w:val="none"/>
              </w:rPr>
            </w:pPr>
          </w:p>
        </w:tc>
        <w:tc>
          <w:tcPr>
            <w:tcW w:w="1295" w:type="dxa"/>
            <w:vAlign w:val="top"/>
          </w:tcPr>
          <w:p w14:paraId="21991AD1">
            <w:pPr>
              <w:rPr>
                <w:rFonts w:ascii="Arial"/>
                <w:sz w:val="21"/>
                <w:highlight w:val="none"/>
              </w:rPr>
            </w:pPr>
          </w:p>
        </w:tc>
      </w:tr>
      <w:tr w14:paraId="1FD9C5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929" w:type="dxa"/>
            <w:vAlign w:val="top"/>
          </w:tcPr>
          <w:p w14:paraId="05A33B2B">
            <w:pPr>
              <w:rPr>
                <w:rFonts w:ascii="Arial"/>
                <w:sz w:val="21"/>
                <w:highlight w:val="none"/>
              </w:rPr>
            </w:pPr>
          </w:p>
        </w:tc>
        <w:tc>
          <w:tcPr>
            <w:tcW w:w="1180" w:type="dxa"/>
            <w:vAlign w:val="top"/>
          </w:tcPr>
          <w:p w14:paraId="2EA384E3">
            <w:pPr>
              <w:rPr>
                <w:rFonts w:ascii="Arial"/>
                <w:sz w:val="21"/>
                <w:highlight w:val="none"/>
              </w:rPr>
            </w:pPr>
          </w:p>
        </w:tc>
        <w:tc>
          <w:tcPr>
            <w:tcW w:w="926" w:type="dxa"/>
            <w:vAlign w:val="top"/>
          </w:tcPr>
          <w:p w14:paraId="00E1CFD0">
            <w:pPr>
              <w:rPr>
                <w:rFonts w:ascii="Arial"/>
                <w:sz w:val="21"/>
                <w:highlight w:val="none"/>
              </w:rPr>
            </w:pPr>
          </w:p>
        </w:tc>
        <w:tc>
          <w:tcPr>
            <w:tcW w:w="1926" w:type="dxa"/>
            <w:vAlign w:val="top"/>
          </w:tcPr>
          <w:p w14:paraId="118C2EF6">
            <w:pPr>
              <w:rPr>
                <w:rFonts w:ascii="Arial"/>
                <w:sz w:val="21"/>
                <w:highlight w:val="none"/>
              </w:rPr>
            </w:pPr>
          </w:p>
        </w:tc>
        <w:tc>
          <w:tcPr>
            <w:tcW w:w="1934" w:type="dxa"/>
            <w:vAlign w:val="top"/>
          </w:tcPr>
          <w:p w14:paraId="5B9AC8B2">
            <w:pPr>
              <w:rPr>
                <w:rFonts w:ascii="Arial"/>
                <w:sz w:val="21"/>
                <w:highlight w:val="none"/>
              </w:rPr>
            </w:pPr>
          </w:p>
        </w:tc>
        <w:tc>
          <w:tcPr>
            <w:tcW w:w="1253" w:type="dxa"/>
            <w:vAlign w:val="top"/>
          </w:tcPr>
          <w:p w14:paraId="5B2FBC17">
            <w:pPr>
              <w:rPr>
                <w:rFonts w:ascii="Arial"/>
                <w:sz w:val="21"/>
                <w:highlight w:val="none"/>
              </w:rPr>
            </w:pPr>
          </w:p>
        </w:tc>
        <w:tc>
          <w:tcPr>
            <w:tcW w:w="1295" w:type="dxa"/>
            <w:vAlign w:val="top"/>
          </w:tcPr>
          <w:p w14:paraId="1678112B">
            <w:pPr>
              <w:rPr>
                <w:rFonts w:ascii="Arial"/>
                <w:sz w:val="21"/>
                <w:highlight w:val="none"/>
              </w:rPr>
            </w:pPr>
          </w:p>
        </w:tc>
      </w:tr>
      <w:tr w14:paraId="5CDC98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929" w:type="dxa"/>
            <w:vAlign w:val="top"/>
          </w:tcPr>
          <w:p w14:paraId="5210F86C">
            <w:pPr>
              <w:rPr>
                <w:rFonts w:ascii="Arial"/>
                <w:sz w:val="21"/>
                <w:highlight w:val="none"/>
              </w:rPr>
            </w:pPr>
          </w:p>
        </w:tc>
        <w:tc>
          <w:tcPr>
            <w:tcW w:w="1180" w:type="dxa"/>
            <w:vAlign w:val="top"/>
          </w:tcPr>
          <w:p w14:paraId="34B4F0E1">
            <w:pPr>
              <w:rPr>
                <w:rFonts w:ascii="Arial"/>
                <w:sz w:val="21"/>
                <w:highlight w:val="none"/>
              </w:rPr>
            </w:pPr>
          </w:p>
        </w:tc>
        <w:tc>
          <w:tcPr>
            <w:tcW w:w="926" w:type="dxa"/>
            <w:vAlign w:val="top"/>
          </w:tcPr>
          <w:p w14:paraId="4E123B04">
            <w:pPr>
              <w:rPr>
                <w:rFonts w:ascii="Arial"/>
                <w:sz w:val="21"/>
                <w:highlight w:val="none"/>
              </w:rPr>
            </w:pPr>
          </w:p>
        </w:tc>
        <w:tc>
          <w:tcPr>
            <w:tcW w:w="1926" w:type="dxa"/>
            <w:vAlign w:val="top"/>
          </w:tcPr>
          <w:p w14:paraId="2F8CA40B">
            <w:pPr>
              <w:rPr>
                <w:rFonts w:ascii="Arial"/>
                <w:sz w:val="21"/>
                <w:highlight w:val="none"/>
              </w:rPr>
            </w:pPr>
          </w:p>
        </w:tc>
        <w:tc>
          <w:tcPr>
            <w:tcW w:w="1934" w:type="dxa"/>
            <w:vAlign w:val="top"/>
          </w:tcPr>
          <w:p w14:paraId="103A831B">
            <w:pPr>
              <w:rPr>
                <w:rFonts w:ascii="Arial"/>
                <w:sz w:val="21"/>
                <w:highlight w:val="none"/>
              </w:rPr>
            </w:pPr>
          </w:p>
        </w:tc>
        <w:tc>
          <w:tcPr>
            <w:tcW w:w="1253" w:type="dxa"/>
            <w:vAlign w:val="top"/>
          </w:tcPr>
          <w:p w14:paraId="7C685938">
            <w:pPr>
              <w:rPr>
                <w:rFonts w:ascii="Arial"/>
                <w:sz w:val="21"/>
                <w:highlight w:val="none"/>
              </w:rPr>
            </w:pPr>
          </w:p>
        </w:tc>
        <w:tc>
          <w:tcPr>
            <w:tcW w:w="1295" w:type="dxa"/>
            <w:vAlign w:val="top"/>
          </w:tcPr>
          <w:p w14:paraId="54E17912">
            <w:pPr>
              <w:rPr>
                <w:rFonts w:ascii="Arial"/>
                <w:sz w:val="21"/>
                <w:highlight w:val="none"/>
              </w:rPr>
            </w:pPr>
          </w:p>
        </w:tc>
      </w:tr>
      <w:tr w14:paraId="2477EE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929" w:type="dxa"/>
            <w:vAlign w:val="top"/>
          </w:tcPr>
          <w:p w14:paraId="56A0E44F">
            <w:pPr>
              <w:rPr>
                <w:rFonts w:ascii="Arial"/>
                <w:sz w:val="21"/>
                <w:highlight w:val="none"/>
              </w:rPr>
            </w:pPr>
          </w:p>
        </w:tc>
        <w:tc>
          <w:tcPr>
            <w:tcW w:w="1180" w:type="dxa"/>
            <w:vAlign w:val="top"/>
          </w:tcPr>
          <w:p w14:paraId="7446A505">
            <w:pPr>
              <w:rPr>
                <w:rFonts w:ascii="Arial"/>
                <w:sz w:val="21"/>
                <w:highlight w:val="none"/>
              </w:rPr>
            </w:pPr>
          </w:p>
        </w:tc>
        <w:tc>
          <w:tcPr>
            <w:tcW w:w="926" w:type="dxa"/>
            <w:vAlign w:val="top"/>
          </w:tcPr>
          <w:p w14:paraId="1617208D">
            <w:pPr>
              <w:rPr>
                <w:rFonts w:ascii="Arial"/>
                <w:sz w:val="21"/>
                <w:highlight w:val="none"/>
              </w:rPr>
            </w:pPr>
          </w:p>
        </w:tc>
        <w:tc>
          <w:tcPr>
            <w:tcW w:w="1926" w:type="dxa"/>
            <w:vAlign w:val="top"/>
          </w:tcPr>
          <w:p w14:paraId="37FF788B">
            <w:pPr>
              <w:rPr>
                <w:rFonts w:ascii="Arial"/>
                <w:sz w:val="21"/>
                <w:highlight w:val="none"/>
              </w:rPr>
            </w:pPr>
          </w:p>
        </w:tc>
        <w:tc>
          <w:tcPr>
            <w:tcW w:w="1934" w:type="dxa"/>
            <w:vAlign w:val="top"/>
          </w:tcPr>
          <w:p w14:paraId="2AB2CFAB">
            <w:pPr>
              <w:rPr>
                <w:rFonts w:ascii="Arial"/>
                <w:sz w:val="21"/>
                <w:highlight w:val="none"/>
              </w:rPr>
            </w:pPr>
          </w:p>
        </w:tc>
        <w:tc>
          <w:tcPr>
            <w:tcW w:w="1253" w:type="dxa"/>
            <w:vAlign w:val="top"/>
          </w:tcPr>
          <w:p w14:paraId="41CEB27C">
            <w:pPr>
              <w:rPr>
                <w:rFonts w:ascii="Arial"/>
                <w:sz w:val="21"/>
                <w:highlight w:val="none"/>
              </w:rPr>
            </w:pPr>
          </w:p>
        </w:tc>
        <w:tc>
          <w:tcPr>
            <w:tcW w:w="1295" w:type="dxa"/>
            <w:vAlign w:val="top"/>
          </w:tcPr>
          <w:p w14:paraId="044321EE">
            <w:pPr>
              <w:rPr>
                <w:rFonts w:ascii="Arial"/>
                <w:sz w:val="21"/>
                <w:highlight w:val="none"/>
              </w:rPr>
            </w:pPr>
          </w:p>
        </w:tc>
      </w:tr>
      <w:tr w14:paraId="2738D4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929" w:type="dxa"/>
            <w:vAlign w:val="top"/>
          </w:tcPr>
          <w:p w14:paraId="5789469F">
            <w:pPr>
              <w:rPr>
                <w:rFonts w:ascii="Arial"/>
                <w:sz w:val="21"/>
                <w:highlight w:val="none"/>
              </w:rPr>
            </w:pPr>
          </w:p>
        </w:tc>
        <w:tc>
          <w:tcPr>
            <w:tcW w:w="1180" w:type="dxa"/>
            <w:vAlign w:val="top"/>
          </w:tcPr>
          <w:p w14:paraId="44340F64">
            <w:pPr>
              <w:rPr>
                <w:rFonts w:ascii="Arial"/>
                <w:sz w:val="21"/>
                <w:highlight w:val="none"/>
              </w:rPr>
            </w:pPr>
          </w:p>
        </w:tc>
        <w:tc>
          <w:tcPr>
            <w:tcW w:w="926" w:type="dxa"/>
            <w:vAlign w:val="top"/>
          </w:tcPr>
          <w:p w14:paraId="58657158">
            <w:pPr>
              <w:rPr>
                <w:rFonts w:ascii="Arial"/>
                <w:sz w:val="21"/>
                <w:highlight w:val="none"/>
              </w:rPr>
            </w:pPr>
          </w:p>
        </w:tc>
        <w:tc>
          <w:tcPr>
            <w:tcW w:w="1926" w:type="dxa"/>
            <w:vAlign w:val="top"/>
          </w:tcPr>
          <w:p w14:paraId="04BC4AC0">
            <w:pPr>
              <w:rPr>
                <w:rFonts w:ascii="Arial"/>
                <w:sz w:val="21"/>
                <w:highlight w:val="none"/>
              </w:rPr>
            </w:pPr>
          </w:p>
        </w:tc>
        <w:tc>
          <w:tcPr>
            <w:tcW w:w="1934" w:type="dxa"/>
            <w:vAlign w:val="top"/>
          </w:tcPr>
          <w:p w14:paraId="4C2C7D5D">
            <w:pPr>
              <w:rPr>
                <w:rFonts w:ascii="Arial"/>
                <w:sz w:val="21"/>
                <w:highlight w:val="none"/>
              </w:rPr>
            </w:pPr>
          </w:p>
        </w:tc>
        <w:tc>
          <w:tcPr>
            <w:tcW w:w="1253" w:type="dxa"/>
            <w:vAlign w:val="top"/>
          </w:tcPr>
          <w:p w14:paraId="25856CD2">
            <w:pPr>
              <w:rPr>
                <w:rFonts w:ascii="Arial"/>
                <w:sz w:val="21"/>
                <w:highlight w:val="none"/>
              </w:rPr>
            </w:pPr>
          </w:p>
        </w:tc>
        <w:tc>
          <w:tcPr>
            <w:tcW w:w="1295" w:type="dxa"/>
            <w:vAlign w:val="top"/>
          </w:tcPr>
          <w:p w14:paraId="2608BF2F">
            <w:pPr>
              <w:rPr>
                <w:rFonts w:ascii="Arial"/>
                <w:sz w:val="21"/>
                <w:highlight w:val="none"/>
              </w:rPr>
            </w:pPr>
          </w:p>
        </w:tc>
      </w:tr>
      <w:tr w14:paraId="1357E7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929" w:type="dxa"/>
            <w:vAlign w:val="top"/>
          </w:tcPr>
          <w:p w14:paraId="5488847E">
            <w:pPr>
              <w:rPr>
                <w:rFonts w:ascii="Arial"/>
                <w:sz w:val="21"/>
                <w:highlight w:val="none"/>
              </w:rPr>
            </w:pPr>
          </w:p>
        </w:tc>
        <w:tc>
          <w:tcPr>
            <w:tcW w:w="1180" w:type="dxa"/>
            <w:vAlign w:val="top"/>
          </w:tcPr>
          <w:p w14:paraId="7B8EE52A">
            <w:pPr>
              <w:rPr>
                <w:rFonts w:ascii="Arial"/>
                <w:sz w:val="21"/>
                <w:highlight w:val="none"/>
              </w:rPr>
            </w:pPr>
          </w:p>
        </w:tc>
        <w:tc>
          <w:tcPr>
            <w:tcW w:w="926" w:type="dxa"/>
            <w:vAlign w:val="top"/>
          </w:tcPr>
          <w:p w14:paraId="40D17FA7">
            <w:pPr>
              <w:rPr>
                <w:rFonts w:ascii="Arial"/>
                <w:sz w:val="21"/>
                <w:highlight w:val="none"/>
              </w:rPr>
            </w:pPr>
          </w:p>
        </w:tc>
        <w:tc>
          <w:tcPr>
            <w:tcW w:w="1926" w:type="dxa"/>
            <w:vAlign w:val="top"/>
          </w:tcPr>
          <w:p w14:paraId="2B2AC456">
            <w:pPr>
              <w:rPr>
                <w:rFonts w:ascii="Arial"/>
                <w:sz w:val="21"/>
                <w:highlight w:val="none"/>
              </w:rPr>
            </w:pPr>
          </w:p>
        </w:tc>
        <w:tc>
          <w:tcPr>
            <w:tcW w:w="1934" w:type="dxa"/>
            <w:vAlign w:val="top"/>
          </w:tcPr>
          <w:p w14:paraId="58A0244A">
            <w:pPr>
              <w:rPr>
                <w:rFonts w:ascii="Arial"/>
                <w:sz w:val="21"/>
                <w:highlight w:val="none"/>
              </w:rPr>
            </w:pPr>
          </w:p>
        </w:tc>
        <w:tc>
          <w:tcPr>
            <w:tcW w:w="1253" w:type="dxa"/>
            <w:vAlign w:val="top"/>
          </w:tcPr>
          <w:p w14:paraId="6735D9EE">
            <w:pPr>
              <w:rPr>
                <w:rFonts w:ascii="Arial"/>
                <w:sz w:val="21"/>
                <w:highlight w:val="none"/>
              </w:rPr>
            </w:pPr>
          </w:p>
        </w:tc>
        <w:tc>
          <w:tcPr>
            <w:tcW w:w="1295" w:type="dxa"/>
            <w:vAlign w:val="top"/>
          </w:tcPr>
          <w:p w14:paraId="3E1B4D70">
            <w:pPr>
              <w:rPr>
                <w:rFonts w:ascii="Arial"/>
                <w:sz w:val="21"/>
                <w:highlight w:val="none"/>
              </w:rPr>
            </w:pPr>
          </w:p>
        </w:tc>
      </w:tr>
      <w:tr w14:paraId="063972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29" w:type="dxa"/>
            <w:vAlign w:val="top"/>
          </w:tcPr>
          <w:p w14:paraId="7C2A58CE">
            <w:pPr>
              <w:rPr>
                <w:rFonts w:ascii="Arial"/>
                <w:sz w:val="21"/>
                <w:highlight w:val="none"/>
              </w:rPr>
            </w:pPr>
          </w:p>
        </w:tc>
        <w:tc>
          <w:tcPr>
            <w:tcW w:w="1180" w:type="dxa"/>
            <w:vAlign w:val="top"/>
          </w:tcPr>
          <w:p w14:paraId="19B80D43">
            <w:pPr>
              <w:rPr>
                <w:rFonts w:ascii="Arial"/>
                <w:sz w:val="21"/>
                <w:highlight w:val="none"/>
              </w:rPr>
            </w:pPr>
          </w:p>
        </w:tc>
        <w:tc>
          <w:tcPr>
            <w:tcW w:w="926" w:type="dxa"/>
            <w:vAlign w:val="top"/>
          </w:tcPr>
          <w:p w14:paraId="68577F69">
            <w:pPr>
              <w:rPr>
                <w:rFonts w:ascii="Arial"/>
                <w:sz w:val="21"/>
                <w:highlight w:val="none"/>
              </w:rPr>
            </w:pPr>
          </w:p>
        </w:tc>
        <w:tc>
          <w:tcPr>
            <w:tcW w:w="1926" w:type="dxa"/>
            <w:vAlign w:val="top"/>
          </w:tcPr>
          <w:p w14:paraId="4AD58124">
            <w:pPr>
              <w:rPr>
                <w:rFonts w:ascii="Arial"/>
                <w:sz w:val="21"/>
                <w:highlight w:val="none"/>
              </w:rPr>
            </w:pPr>
          </w:p>
        </w:tc>
        <w:tc>
          <w:tcPr>
            <w:tcW w:w="1934" w:type="dxa"/>
            <w:vAlign w:val="top"/>
          </w:tcPr>
          <w:p w14:paraId="6496E6E9">
            <w:pPr>
              <w:rPr>
                <w:rFonts w:ascii="Arial"/>
                <w:sz w:val="21"/>
                <w:highlight w:val="none"/>
              </w:rPr>
            </w:pPr>
          </w:p>
        </w:tc>
        <w:tc>
          <w:tcPr>
            <w:tcW w:w="1253" w:type="dxa"/>
            <w:vAlign w:val="top"/>
          </w:tcPr>
          <w:p w14:paraId="4456141D">
            <w:pPr>
              <w:rPr>
                <w:rFonts w:ascii="Arial"/>
                <w:sz w:val="21"/>
                <w:highlight w:val="none"/>
              </w:rPr>
            </w:pPr>
          </w:p>
        </w:tc>
        <w:tc>
          <w:tcPr>
            <w:tcW w:w="1295" w:type="dxa"/>
            <w:vAlign w:val="top"/>
          </w:tcPr>
          <w:p w14:paraId="12F4ED57">
            <w:pPr>
              <w:rPr>
                <w:rFonts w:ascii="Arial"/>
                <w:sz w:val="21"/>
                <w:highlight w:val="none"/>
              </w:rPr>
            </w:pPr>
          </w:p>
        </w:tc>
      </w:tr>
      <w:tr w14:paraId="71B873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929" w:type="dxa"/>
            <w:vAlign w:val="top"/>
          </w:tcPr>
          <w:p w14:paraId="0CD98DCA">
            <w:pPr>
              <w:rPr>
                <w:rFonts w:ascii="Arial"/>
                <w:sz w:val="21"/>
                <w:highlight w:val="none"/>
              </w:rPr>
            </w:pPr>
          </w:p>
        </w:tc>
        <w:tc>
          <w:tcPr>
            <w:tcW w:w="1180" w:type="dxa"/>
            <w:vAlign w:val="top"/>
          </w:tcPr>
          <w:p w14:paraId="4CC62C6D">
            <w:pPr>
              <w:rPr>
                <w:rFonts w:ascii="Arial"/>
                <w:sz w:val="21"/>
                <w:highlight w:val="none"/>
              </w:rPr>
            </w:pPr>
          </w:p>
        </w:tc>
        <w:tc>
          <w:tcPr>
            <w:tcW w:w="926" w:type="dxa"/>
            <w:vAlign w:val="top"/>
          </w:tcPr>
          <w:p w14:paraId="53D5E778">
            <w:pPr>
              <w:rPr>
                <w:rFonts w:ascii="Arial"/>
                <w:sz w:val="21"/>
                <w:highlight w:val="none"/>
              </w:rPr>
            </w:pPr>
          </w:p>
        </w:tc>
        <w:tc>
          <w:tcPr>
            <w:tcW w:w="1926" w:type="dxa"/>
            <w:vAlign w:val="top"/>
          </w:tcPr>
          <w:p w14:paraId="04D7B21D">
            <w:pPr>
              <w:rPr>
                <w:rFonts w:ascii="Arial"/>
                <w:sz w:val="21"/>
                <w:highlight w:val="none"/>
              </w:rPr>
            </w:pPr>
          </w:p>
        </w:tc>
        <w:tc>
          <w:tcPr>
            <w:tcW w:w="1934" w:type="dxa"/>
            <w:vAlign w:val="top"/>
          </w:tcPr>
          <w:p w14:paraId="4C409485">
            <w:pPr>
              <w:rPr>
                <w:rFonts w:ascii="Arial"/>
                <w:sz w:val="21"/>
                <w:highlight w:val="none"/>
              </w:rPr>
            </w:pPr>
          </w:p>
        </w:tc>
        <w:tc>
          <w:tcPr>
            <w:tcW w:w="1253" w:type="dxa"/>
            <w:vAlign w:val="top"/>
          </w:tcPr>
          <w:p w14:paraId="7B70E1BA">
            <w:pPr>
              <w:rPr>
                <w:rFonts w:ascii="Arial"/>
                <w:sz w:val="21"/>
                <w:highlight w:val="none"/>
              </w:rPr>
            </w:pPr>
          </w:p>
        </w:tc>
        <w:tc>
          <w:tcPr>
            <w:tcW w:w="1295" w:type="dxa"/>
            <w:vAlign w:val="top"/>
          </w:tcPr>
          <w:p w14:paraId="733B7FAA">
            <w:pPr>
              <w:rPr>
                <w:rFonts w:ascii="Arial"/>
                <w:sz w:val="21"/>
                <w:highlight w:val="none"/>
              </w:rPr>
            </w:pPr>
          </w:p>
        </w:tc>
      </w:tr>
      <w:tr w14:paraId="58E9FF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929" w:type="dxa"/>
            <w:vAlign w:val="top"/>
          </w:tcPr>
          <w:p w14:paraId="4D638227">
            <w:pPr>
              <w:rPr>
                <w:rFonts w:ascii="Arial"/>
                <w:sz w:val="21"/>
                <w:highlight w:val="none"/>
              </w:rPr>
            </w:pPr>
          </w:p>
        </w:tc>
        <w:tc>
          <w:tcPr>
            <w:tcW w:w="1180" w:type="dxa"/>
            <w:vAlign w:val="top"/>
          </w:tcPr>
          <w:p w14:paraId="3BB602E8">
            <w:pPr>
              <w:rPr>
                <w:rFonts w:ascii="Arial"/>
                <w:sz w:val="21"/>
                <w:highlight w:val="none"/>
              </w:rPr>
            </w:pPr>
          </w:p>
        </w:tc>
        <w:tc>
          <w:tcPr>
            <w:tcW w:w="926" w:type="dxa"/>
            <w:vAlign w:val="top"/>
          </w:tcPr>
          <w:p w14:paraId="0F98AE38">
            <w:pPr>
              <w:rPr>
                <w:rFonts w:ascii="Arial"/>
                <w:sz w:val="21"/>
                <w:highlight w:val="none"/>
              </w:rPr>
            </w:pPr>
          </w:p>
        </w:tc>
        <w:tc>
          <w:tcPr>
            <w:tcW w:w="1926" w:type="dxa"/>
            <w:vAlign w:val="top"/>
          </w:tcPr>
          <w:p w14:paraId="0BE2395B">
            <w:pPr>
              <w:rPr>
                <w:rFonts w:ascii="Arial"/>
                <w:sz w:val="21"/>
                <w:highlight w:val="none"/>
              </w:rPr>
            </w:pPr>
          </w:p>
        </w:tc>
        <w:tc>
          <w:tcPr>
            <w:tcW w:w="1934" w:type="dxa"/>
            <w:vAlign w:val="top"/>
          </w:tcPr>
          <w:p w14:paraId="0761C579">
            <w:pPr>
              <w:rPr>
                <w:rFonts w:ascii="Arial"/>
                <w:sz w:val="21"/>
                <w:highlight w:val="none"/>
              </w:rPr>
            </w:pPr>
          </w:p>
        </w:tc>
        <w:tc>
          <w:tcPr>
            <w:tcW w:w="1253" w:type="dxa"/>
            <w:vAlign w:val="top"/>
          </w:tcPr>
          <w:p w14:paraId="24329E19">
            <w:pPr>
              <w:rPr>
                <w:rFonts w:ascii="Arial"/>
                <w:sz w:val="21"/>
                <w:highlight w:val="none"/>
              </w:rPr>
            </w:pPr>
          </w:p>
        </w:tc>
        <w:tc>
          <w:tcPr>
            <w:tcW w:w="1295" w:type="dxa"/>
            <w:vAlign w:val="top"/>
          </w:tcPr>
          <w:p w14:paraId="7BA17D9F">
            <w:pPr>
              <w:rPr>
                <w:rFonts w:ascii="Arial"/>
                <w:sz w:val="21"/>
                <w:highlight w:val="none"/>
              </w:rPr>
            </w:pPr>
          </w:p>
        </w:tc>
      </w:tr>
    </w:tbl>
    <w:p w14:paraId="6663152B">
      <w:pPr>
        <w:pStyle w:val="10"/>
        <w:spacing w:line="267" w:lineRule="auto"/>
        <w:rPr>
          <w:highlight w:val="none"/>
        </w:rPr>
      </w:pPr>
    </w:p>
    <w:p w14:paraId="71AEDD44">
      <w:pPr>
        <w:pStyle w:val="10"/>
        <w:spacing w:line="267" w:lineRule="auto"/>
        <w:rPr>
          <w:highlight w:val="none"/>
        </w:rPr>
      </w:pPr>
    </w:p>
    <w:p w14:paraId="18BA8F0A">
      <w:pPr>
        <w:pStyle w:val="10"/>
        <w:spacing w:line="268" w:lineRule="auto"/>
        <w:rPr>
          <w:highlight w:val="none"/>
        </w:rPr>
      </w:pPr>
    </w:p>
    <w:p w14:paraId="5291882A">
      <w:pPr>
        <w:pStyle w:val="10"/>
        <w:spacing w:line="268" w:lineRule="auto"/>
        <w:rPr>
          <w:highlight w:val="none"/>
        </w:rPr>
      </w:pPr>
    </w:p>
    <w:p w14:paraId="0503D333">
      <w:pPr>
        <w:pStyle w:val="10"/>
        <w:spacing w:line="268" w:lineRule="auto"/>
        <w:rPr>
          <w:highlight w:val="none"/>
        </w:rPr>
      </w:pPr>
    </w:p>
    <w:p w14:paraId="5DF14A5D">
      <w:pPr>
        <w:pStyle w:val="10"/>
        <w:spacing w:line="268" w:lineRule="auto"/>
        <w:rPr>
          <w:highlight w:val="none"/>
        </w:rPr>
      </w:pPr>
    </w:p>
    <w:p w14:paraId="631FF390">
      <w:pPr>
        <w:keepNext w:val="0"/>
        <w:keepLines w:val="0"/>
        <w:pageBreakBefore w:val="0"/>
        <w:widowControl w:val="0"/>
        <w:kinsoku/>
        <w:wordWrap/>
        <w:overflowPunct/>
        <w:topLinePunct w:val="0"/>
        <w:autoSpaceDE/>
        <w:autoSpaceDN/>
        <w:bidi w:val="0"/>
        <w:adjustRightInd/>
        <w:snapToGrid/>
        <w:spacing w:line="480" w:lineRule="auto"/>
        <w:ind w:left="0"/>
        <w:textAlignment w:val="auto"/>
        <w:rPr>
          <w:rFonts w:ascii="宋体" w:hAnsi="宋体" w:eastAsia="宋体" w:cs="宋体"/>
          <w:sz w:val="24"/>
          <w:szCs w:val="24"/>
          <w:highlight w:val="none"/>
        </w:rPr>
      </w:pPr>
      <w:r>
        <w:rPr>
          <w:rFonts w:ascii="宋体" w:hAnsi="宋体" w:eastAsia="宋体" w:cs="宋体"/>
          <w:spacing w:val="-2"/>
          <w:sz w:val="24"/>
          <w:szCs w:val="24"/>
          <w:highlight w:val="none"/>
        </w:rPr>
        <w:t>供应商</w:t>
      </w:r>
      <w:r>
        <w:rPr>
          <w:rFonts w:ascii="宋体" w:hAnsi="宋体" w:eastAsia="宋体" w:cs="宋体"/>
          <w:spacing w:val="4"/>
          <w:sz w:val="24"/>
          <w:szCs w:val="24"/>
          <w:highlight w:val="none"/>
        </w:rPr>
        <w:t>：</w:t>
      </w:r>
      <w:r>
        <w:rPr>
          <w:rFonts w:ascii="宋体" w:hAnsi="宋体" w:eastAsia="宋体" w:cs="宋体"/>
          <w:spacing w:val="1"/>
          <w:sz w:val="24"/>
          <w:szCs w:val="24"/>
          <w:highlight w:val="none"/>
          <w:u w:val="single" w:color="auto"/>
        </w:rPr>
        <w:t xml:space="preserve">                     </w:t>
      </w:r>
      <w:r>
        <w:rPr>
          <w:rFonts w:ascii="宋体" w:hAnsi="宋体" w:eastAsia="宋体" w:cs="宋体"/>
          <w:spacing w:val="4"/>
          <w:sz w:val="24"/>
          <w:szCs w:val="24"/>
          <w:highlight w:val="none"/>
        </w:rPr>
        <w:t>（</w:t>
      </w:r>
      <w:r>
        <w:rPr>
          <w:rFonts w:ascii="宋体" w:hAnsi="宋体" w:eastAsia="宋体" w:cs="宋体"/>
          <w:spacing w:val="-2"/>
          <w:sz w:val="24"/>
          <w:szCs w:val="24"/>
          <w:highlight w:val="none"/>
        </w:rPr>
        <w:t>盖单位章）</w:t>
      </w:r>
    </w:p>
    <w:p w14:paraId="5D062808">
      <w:pPr>
        <w:keepNext w:val="0"/>
        <w:keepLines w:val="0"/>
        <w:pageBreakBefore w:val="0"/>
        <w:widowControl w:val="0"/>
        <w:kinsoku/>
        <w:wordWrap/>
        <w:overflowPunct/>
        <w:topLinePunct w:val="0"/>
        <w:autoSpaceDE/>
        <w:autoSpaceDN/>
        <w:bidi w:val="0"/>
        <w:adjustRightInd/>
        <w:snapToGrid/>
        <w:spacing w:line="480" w:lineRule="auto"/>
        <w:ind w:left="0"/>
        <w:textAlignment w:val="auto"/>
        <w:rPr>
          <w:rFonts w:ascii="宋体" w:hAnsi="宋体" w:eastAsia="宋体" w:cs="宋体"/>
          <w:spacing w:val="2"/>
          <w:sz w:val="24"/>
          <w:szCs w:val="24"/>
          <w:highlight w:val="none"/>
        </w:rPr>
      </w:pPr>
      <w:r>
        <w:rPr>
          <w:rFonts w:ascii="宋体" w:hAnsi="宋体" w:eastAsia="宋体" w:cs="宋体"/>
          <w:spacing w:val="2"/>
          <w:sz w:val="24"/>
          <w:szCs w:val="24"/>
          <w:highlight w:val="none"/>
        </w:rPr>
        <w:t>供应商法定代表人或其委托代理人</w:t>
      </w:r>
      <w:r>
        <w:rPr>
          <w:rFonts w:ascii="宋体" w:hAnsi="宋体" w:eastAsia="宋体" w:cs="宋体"/>
          <w:spacing w:val="-15"/>
          <w:sz w:val="24"/>
          <w:szCs w:val="24"/>
          <w:highlight w:val="none"/>
        </w:rPr>
        <w:t>：</w:t>
      </w:r>
      <w:r>
        <w:rPr>
          <w:rFonts w:ascii="宋体" w:hAnsi="宋体" w:eastAsia="宋体" w:cs="宋体"/>
          <w:spacing w:val="1"/>
          <w:sz w:val="24"/>
          <w:szCs w:val="24"/>
          <w:highlight w:val="none"/>
          <w:u w:val="single" w:color="auto"/>
        </w:rPr>
        <w:t xml:space="preserve">         </w:t>
      </w:r>
      <w:r>
        <w:rPr>
          <w:rFonts w:ascii="宋体" w:hAnsi="宋体" w:eastAsia="宋体" w:cs="宋体"/>
          <w:spacing w:val="-15"/>
          <w:sz w:val="24"/>
          <w:szCs w:val="24"/>
          <w:highlight w:val="none"/>
        </w:rPr>
        <w:t>（</w:t>
      </w:r>
      <w:r>
        <w:rPr>
          <w:rFonts w:ascii="宋体" w:hAnsi="宋体" w:eastAsia="宋体" w:cs="宋体"/>
          <w:spacing w:val="2"/>
          <w:sz w:val="24"/>
          <w:szCs w:val="24"/>
          <w:highlight w:val="none"/>
        </w:rPr>
        <w:t xml:space="preserve">签字或盖章） </w:t>
      </w:r>
    </w:p>
    <w:p w14:paraId="1322446B">
      <w:pPr>
        <w:keepNext w:val="0"/>
        <w:keepLines w:val="0"/>
        <w:pageBreakBefore w:val="0"/>
        <w:widowControl w:val="0"/>
        <w:kinsoku/>
        <w:wordWrap/>
        <w:overflowPunct/>
        <w:topLinePunct w:val="0"/>
        <w:autoSpaceDE/>
        <w:autoSpaceDN/>
        <w:bidi w:val="0"/>
        <w:adjustRightInd/>
        <w:snapToGrid/>
        <w:spacing w:line="480" w:lineRule="auto"/>
        <w:ind w:left="0"/>
        <w:textAlignment w:val="auto"/>
        <w:rPr>
          <w:rFonts w:ascii="宋体" w:hAnsi="宋体" w:eastAsia="宋体" w:cs="宋体"/>
          <w:spacing w:val="-9"/>
          <w:sz w:val="24"/>
          <w:szCs w:val="24"/>
          <w:highlight w:val="none"/>
        </w:rPr>
      </w:pPr>
      <w:r>
        <w:rPr>
          <w:rFonts w:hint="eastAsia" w:ascii="宋体" w:hAnsi="宋体" w:eastAsia="宋体" w:cs="宋体"/>
          <w:spacing w:val="2"/>
          <w:sz w:val="24"/>
          <w:szCs w:val="24"/>
          <w:highlight w:val="none"/>
          <w:lang w:val="en-US" w:eastAsia="zh-CN"/>
        </w:rPr>
        <w:t>日期：</w:t>
      </w:r>
      <w:r>
        <w:rPr>
          <w:rFonts w:hint="eastAsia" w:ascii="宋体" w:hAnsi="宋体" w:eastAsia="宋体" w:cs="宋体"/>
          <w:spacing w:val="2"/>
          <w:sz w:val="24"/>
          <w:szCs w:val="24"/>
          <w:highlight w:val="none"/>
          <w:u w:val="single"/>
          <w:lang w:val="en-US" w:eastAsia="zh-CN"/>
        </w:rPr>
        <w:t xml:space="preserve">        </w:t>
      </w:r>
      <w:r>
        <w:rPr>
          <w:rFonts w:ascii="宋体" w:hAnsi="宋体" w:eastAsia="宋体" w:cs="宋体"/>
          <w:sz w:val="24"/>
          <w:szCs w:val="24"/>
          <w:highlight w:val="none"/>
          <w:u w:val="single" w:color="auto"/>
        </w:rPr>
        <w:tab/>
      </w:r>
      <w:r>
        <w:rPr>
          <w:rFonts w:ascii="宋体" w:hAnsi="宋体" w:eastAsia="宋体" w:cs="宋体"/>
          <w:spacing w:val="-110"/>
          <w:sz w:val="24"/>
          <w:szCs w:val="24"/>
          <w:highlight w:val="none"/>
        </w:rPr>
        <w:t xml:space="preserve"> </w:t>
      </w:r>
      <w:r>
        <w:rPr>
          <w:rFonts w:ascii="宋体" w:hAnsi="宋体" w:eastAsia="宋体" w:cs="宋体"/>
          <w:spacing w:val="-9"/>
          <w:sz w:val="24"/>
          <w:szCs w:val="24"/>
          <w:highlight w:val="none"/>
        </w:rPr>
        <w:t>年</w:t>
      </w:r>
      <w:r>
        <w:rPr>
          <w:rFonts w:ascii="宋体" w:hAnsi="宋体" w:eastAsia="宋体" w:cs="宋体"/>
          <w:spacing w:val="1"/>
          <w:sz w:val="24"/>
          <w:szCs w:val="24"/>
          <w:highlight w:val="none"/>
          <w:u w:val="single" w:color="auto"/>
        </w:rPr>
        <w:t xml:space="preserve">         </w:t>
      </w:r>
      <w:r>
        <w:rPr>
          <w:rFonts w:ascii="宋体" w:hAnsi="宋体" w:eastAsia="宋体" w:cs="宋体"/>
          <w:spacing w:val="-102"/>
          <w:sz w:val="24"/>
          <w:szCs w:val="24"/>
          <w:highlight w:val="none"/>
        </w:rPr>
        <w:t xml:space="preserve"> </w:t>
      </w:r>
      <w:r>
        <w:rPr>
          <w:rFonts w:ascii="宋体" w:hAnsi="宋体" w:eastAsia="宋体" w:cs="宋体"/>
          <w:spacing w:val="-9"/>
          <w:sz w:val="24"/>
          <w:szCs w:val="24"/>
          <w:highlight w:val="none"/>
        </w:rPr>
        <w:t>月</w:t>
      </w:r>
      <w:r>
        <w:rPr>
          <w:rFonts w:ascii="宋体" w:hAnsi="宋体" w:eastAsia="宋体" w:cs="宋体"/>
          <w:spacing w:val="1"/>
          <w:sz w:val="24"/>
          <w:szCs w:val="24"/>
          <w:highlight w:val="none"/>
          <w:u w:val="single" w:color="auto"/>
        </w:rPr>
        <w:t xml:space="preserve">         </w:t>
      </w:r>
      <w:r>
        <w:rPr>
          <w:rFonts w:ascii="宋体" w:hAnsi="宋体" w:eastAsia="宋体" w:cs="宋体"/>
          <w:spacing w:val="-68"/>
          <w:sz w:val="24"/>
          <w:szCs w:val="24"/>
          <w:highlight w:val="none"/>
        </w:rPr>
        <w:t xml:space="preserve"> </w:t>
      </w:r>
      <w:r>
        <w:rPr>
          <w:rFonts w:ascii="宋体" w:hAnsi="宋体" w:eastAsia="宋体" w:cs="宋体"/>
          <w:spacing w:val="-9"/>
          <w:sz w:val="24"/>
          <w:szCs w:val="24"/>
          <w:highlight w:val="none"/>
        </w:rPr>
        <w:t>日</w:t>
      </w:r>
    </w:p>
    <w:p w14:paraId="105BC0CB">
      <w:pPr>
        <w:rPr>
          <w:rFonts w:hint="eastAsia" w:ascii="宋体" w:hAnsi="宋体" w:eastAsia="宋体" w:cs="宋体"/>
          <w:b/>
          <w:bCs/>
          <w:sz w:val="32"/>
          <w:szCs w:val="32"/>
          <w:highlight w:val="none"/>
          <w:lang w:val="en-US" w:eastAsia="zh-CN"/>
        </w:rPr>
      </w:pPr>
      <w:r>
        <w:rPr>
          <w:rFonts w:hint="eastAsia" w:ascii="宋体" w:hAnsi="宋体" w:eastAsia="宋体" w:cs="宋体"/>
          <w:b/>
          <w:bCs/>
          <w:sz w:val="32"/>
          <w:szCs w:val="32"/>
          <w:highlight w:val="none"/>
          <w:lang w:val="en-US" w:eastAsia="zh-CN"/>
        </w:rPr>
        <w:br w:type="page"/>
      </w:r>
    </w:p>
    <w:p w14:paraId="485EABF7">
      <w:pPr>
        <w:spacing w:before="91" w:line="219" w:lineRule="auto"/>
        <w:ind w:left="24"/>
        <w:rPr>
          <w:rFonts w:ascii="宋体" w:hAnsi="宋体" w:eastAsia="宋体" w:cs="宋体"/>
          <w:sz w:val="28"/>
          <w:szCs w:val="28"/>
          <w:highlight w:val="none"/>
        </w:rPr>
      </w:pPr>
      <w:r>
        <w:rPr>
          <w:rFonts w:ascii="宋体" w:hAnsi="宋体" w:eastAsia="宋体" w:cs="宋体"/>
          <w:b/>
          <w:bCs/>
          <w:spacing w:val="-8"/>
          <w:sz w:val="28"/>
          <w:szCs w:val="28"/>
          <w:highlight w:val="none"/>
        </w:rPr>
        <w:t>附表</w:t>
      </w:r>
      <w:r>
        <w:rPr>
          <w:rFonts w:ascii="宋体" w:hAnsi="宋体" w:eastAsia="宋体" w:cs="宋体"/>
          <w:spacing w:val="-50"/>
          <w:sz w:val="28"/>
          <w:szCs w:val="28"/>
          <w:highlight w:val="none"/>
        </w:rPr>
        <w:t xml:space="preserve"> </w:t>
      </w:r>
      <w:r>
        <w:rPr>
          <w:rFonts w:ascii="宋体" w:hAnsi="宋体" w:eastAsia="宋体" w:cs="宋体"/>
          <w:b/>
          <w:bCs/>
          <w:spacing w:val="-8"/>
          <w:sz w:val="28"/>
          <w:szCs w:val="28"/>
          <w:highlight w:val="none"/>
        </w:rPr>
        <w:t>5、其他资料</w:t>
      </w:r>
    </w:p>
    <w:p w14:paraId="60C42E6D">
      <w:pPr>
        <w:spacing w:before="314" w:line="219" w:lineRule="auto"/>
        <w:rPr>
          <w:rFonts w:ascii="宋体" w:hAnsi="宋体" w:eastAsia="宋体" w:cs="宋体"/>
          <w:sz w:val="24"/>
          <w:szCs w:val="24"/>
          <w:highlight w:val="none"/>
        </w:rPr>
      </w:pPr>
      <w:r>
        <w:rPr>
          <w:rFonts w:ascii="宋体" w:hAnsi="宋体" w:eastAsia="宋体" w:cs="宋体"/>
          <w:spacing w:val="1"/>
          <w:sz w:val="24"/>
          <w:szCs w:val="24"/>
          <w:highlight w:val="none"/>
        </w:rPr>
        <w:t>磋商文件规定的其他资格审查资料，格式自拟</w:t>
      </w:r>
    </w:p>
    <w:p w14:paraId="06C8F364">
      <w:pPr>
        <w:rPr>
          <w:rFonts w:hint="eastAsia"/>
          <w:b/>
          <w:bCs/>
          <w:sz w:val="32"/>
          <w:szCs w:val="32"/>
          <w:highlight w:val="none"/>
          <w:lang w:val="en-US" w:eastAsia="zh-CN"/>
        </w:rPr>
      </w:pPr>
    </w:p>
    <w:p w14:paraId="491B5A67">
      <w:pPr>
        <w:rPr>
          <w:rFonts w:hint="eastAsia"/>
          <w:b/>
          <w:bCs/>
          <w:sz w:val="32"/>
          <w:szCs w:val="32"/>
          <w:highlight w:val="none"/>
          <w:lang w:val="en-US" w:eastAsia="zh-CN"/>
        </w:rPr>
      </w:pPr>
      <w:r>
        <w:rPr>
          <w:rFonts w:hint="eastAsia"/>
          <w:b/>
          <w:bCs/>
          <w:sz w:val="32"/>
          <w:szCs w:val="32"/>
          <w:highlight w:val="none"/>
          <w:lang w:val="en-US" w:eastAsia="zh-CN"/>
        </w:rPr>
        <w:br w:type="page"/>
      </w:r>
    </w:p>
    <w:p w14:paraId="03017001">
      <w:pPr>
        <w:pStyle w:val="8"/>
        <w:ind w:firstLine="0"/>
        <w:jc w:val="center"/>
        <w:rPr>
          <w:rFonts w:hint="eastAsia"/>
          <w:b/>
          <w:bCs/>
          <w:sz w:val="32"/>
          <w:szCs w:val="32"/>
          <w:highlight w:val="none"/>
        </w:rPr>
      </w:pPr>
      <w:r>
        <w:rPr>
          <w:rFonts w:hint="eastAsia"/>
          <w:b/>
          <w:bCs/>
          <w:sz w:val="32"/>
          <w:szCs w:val="32"/>
          <w:highlight w:val="none"/>
          <w:lang w:val="en-US" w:eastAsia="zh-CN"/>
        </w:rPr>
        <w:t>7</w:t>
      </w:r>
      <w:r>
        <w:rPr>
          <w:rFonts w:hint="eastAsia"/>
          <w:b/>
          <w:bCs/>
          <w:sz w:val="32"/>
          <w:szCs w:val="32"/>
          <w:highlight w:val="none"/>
        </w:rPr>
        <w:t>.供应商认为响应文件中需要体现的其它商务材料</w:t>
      </w:r>
    </w:p>
    <w:p w14:paraId="693284AB">
      <w:pPr>
        <w:jc w:val="center"/>
        <w:rPr>
          <w:rFonts w:hint="eastAsia"/>
          <w:highlight w:val="none"/>
        </w:rPr>
      </w:pPr>
      <w:r>
        <w:rPr>
          <w:rFonts w:hint="eastAsia"/>
          <w:highlight w:val="none"/>
        </w:rPr>
        <w:t>格式自拟</w:t>
      </w:r>
    </w:p>
    <w:p w14:paraId="521877B4">
      <w:pPr>
        <w:rPr>
          <w:rFonts w:hint="eastAsia"/>
          <w:kern w:val="0"/>
          <w:szCs w:val="21"/>
          <w:highlight w:val="none"/>
        </w:rPr>
      </w:pPr>
    </w:p>
    <w:p w14:paraId="05BB6BBF">
      <w:pPr>
        <w:rPr>
          <w:rFonts w:hint="eastAsia"/>
          <w:b/>
          <w:bCs/>
          <w:sz w:val="32"/>
          <w:szCs w:val="32"/>
          <w:highlight w:val="none"/>
        </w:rPr>
      </w:pPr>
      <w:bookmarkStart w:id="960" w:name="_Toc17396"/>
      <w:bookmarkStart w:id="961" w:name="_Toc288"/>
      <w:bookmarkStart w:id="962" w:name="_Toc6383"/>
      <w:bookmarkStart w:id="963" w:name="_Toc5217"/>
      <w:bookmarkStart w:id="964" w:name="_Toc2424"/>
      <w:bookmarkStart w:id="965" w:name="_Toc10545"/>
      <w:bookmarkStart w:id="966" w:name="_Toc3258"/>
      <w:r>
        <w:rPr>
          <w:rFonts w:hint="eastAsia"/>
          <w:b/>
          <w:bCs/>
          <w:sz w:val="32"/>
          <w:szCs w:val="32"/>
          <w:highlight w:val="none"/>
        </w:rPr>
        <w:br w:type="page"/>
      </w:r>
    </w:p>
    <w:p w14:paraId="013E7232">
      <w:pPr>
        <w:jc w:val="center"/>
        <w:rPr>
          <w:rFonts w:hint="eastAsia"/>
          <w:color w:val="000000"/>
          <w:highlight w:val="none"/>
        </w:rPr>
      </w:pPr>
      <w:r>
        <w:rPr>
          <w:rFonts w:hint="eastAsia"/>
          <w:b/>
          <w:bCs/>
          <w:sz w:val="32"/>
          <w:szCs w:val="32"/>
          <w:highlight w:val="none"/>
        </w:rPr>
        <w:t>五、技术部分内容如下</w:t>
      </w:r>
      <w:bookmarkEnd w:id="960"/>
      <w:bookmarkEnd w:id="961"/>
      <w:bookmarkEnd w:id="962"/>
      <w:bookmarkEnd w:id="963"/>
      <w:bookmarkEnd w:id="964"/>
      <w:bookmarkEnd w:id="965"/>
      <w:bookmarkEnd w:id="966"/>
    </w:p>
    <w:p w14:paraId="7D88DD70">
      <w:pPr>
        <w:pStyle w:val="15"/>
        <w:rPr>
          <w:rFonts w:hint="eastAsia" w:hAnsi="宋体"/>
          <w:kern w:val="0"/>
          <w:szCs w:val="22"/>
          <w:highlight w:val="none"/>
        </w:rPr>
      </w:pPr>
    </w:p>
    <w:p w14:paraId="5453A8E2">
      <w:pPr>
        <w:jc w:val="center"/>
        <w:rPr>
          <w:rFonts w:hint="eastAsia"/>
          <w:szCs w:val="21"/>
          <w:highlight w:val="none"/>
        </w:rPr>
      </w:pPr>
      <w:r>
        <w:rPr>
          <w:rFonts w:hint="eastAsia"/>
          <w:b/>
          <w:bCs/>
          <w:highlight w:val="none"/>
          <w:u w:val="single"/>
        </w:rPr>
        <w:t>由供应商根据竞争性磋商文件要求自行编制，格式自拟。</w:t>
      </w:r>
    </w:p>
    <w:p w14:paraId="2882B66E">
      <w:pPr>
        <w:tabs>
          <w:tab w:val="left" w:pos="567"/>
          <w:tab w:val="left" w:pos="1146"/>
          <w:tab w:val="left" w:pos="1719"/>
          <w:tab w:val="left" w:pos="2483"/>
        </w:tabs>
        <w:spacing w:before="120" w:line="320" w:lineRule="exact"/>
        <w:ind w:left="390" w:leftChars="46" w:hanging="280" w:hangingChars="117"/>
        <w:rPr>
          <w:rFonts w:hint="eastAsia"/>
          <w:szCs w:val="21"/>
          <w:highlight w:val="none"/>
        </w:rPr>
      </w:pPr>
    </w:p>
    <w:p w14:paraId="399D59A7">
      <w:pPr>
        <w:pStyle w:val="10"/>
        <w:rPr>
          <w:rFonts w:hint="eastAsia"/>
          <w:szCs w:val="21"/>
          <w:highlight w:val="none"/>
        </w:rPr>
      </w:pPr>
    </w:p>
    <w:p w14:paraId="64851E47">
      <w:pPr>
        <w:rPr>
          <w:rFonts w:hint="eastAsia"/>
          <w:szCs w:val="21"/>
          <w:highlight w:val="none"/>
        </w:rPr>
      </w:pPr>
    </w:p>
    <w:p w14:paraId="61E775FD">
      <w:pPr>
        <w:pStyle w:val="10"/>
        <w:rPr>
          <w:rFonts w:hint="eastAsia"/>
          <w:szCs w:val="21"/>
          <w:highlight w:val="none"/>
        </w:rPr>
      </w:pPr>
    </w:p>
    <w:p w14:paraId="07A64FD8">
      <w:pPr>
        <w:rPr>
          <w:rFonts w:hint="eastAsia"/>
          <w:szCs w:val="21"/>
          <w:highlight w:val="none"/>
        </w:rPr>
      </w:pPr>
    </w:p>
    <w:p w14:paraId="1251B849">
      <w:pPr>
        <w:pStyle w:val="10"/>
        <w:rPr>
          <w:rFonts w:hint="eastAsia"/>
          <w:szCs w:val="21"/>
          <w:highlight w:val="none"/>
        </w:rPr>
      </w:pPr>
    </w:p>
    <w:p w14:paraId="64177F71">
      <w:pPr>
        <w:rPr>
          <w:rFonts w:hint="eastAsia"/>
          <w:szCs w:val="21"/>
          <w:highlight w:val="none"/>
        </w:rPr>
      </w:pPr>
    </w:p>
    <w:p w14:paraId="7480F15B">
      <w:pPr>
        <w:pStyle w:val="10"/>
        <w:rPr>
          <w:rFonts w:hint="eastAsia"/>
          <w:szCs w:val="21"/>
          <w:highlight w:val="none"/>
        </w:rPr>
      </w:pPr>
    </w:p>
    <w:p w14:paraId="11B83210">
      <w:pPr>
        <w:tabs>
          <w:tab w:val="left" w:pos="567"/>
          <w:tab w:val="left" w:pos="1146"/>
          <w:tab w:val="left" w:pos="1719"/>
          <w:tab w:val="left" w:pos="2483"/>
        </w:tabs>
        <w:spacing w:before="120" w:line="320" w:lineRule="exact"/>
        <w:rPr>
          <w:rFonts w:hint="eastAsia"/>
          <w:szCs w:val="21"/>
          <w:highlight w:val="none"/>
        </w:rPr>
        <w:sectPr>
          <w:headerReference r:id="rId14" w:type="default"/>
          <w:footerReference r:id="rId15" w:type="default"/>
          <w:pgSz w:w="11906" w:h="16838"/>
          <w:pgMar w:top="1440" w:right="1440" w:bottom="1440" w:left="1440" w:header="851" w:footer="992" w:gutter="0"/>
          <w:pgNumType w:fmt="decimal"/>
          <w:cols w:space="720" w:num="1"/>
          <w:docGrid w:linePitch="312" w:charSpace="0"/>
        </w:sectPr>
      </w:pPr>
    </w:p>
    <w:bookmarkEnd w:id="956"/>
    <w:bookmarkEnd w:id="957"/>
    <w:bookmarkEnd w:id="958"/>
    <w:bookmarkEnd w:id="959"/>
    <w:p w14:paraId="626548FB">
      <w:pPr>
        <w:pStyle w:val="2"/>
        <w:tabs>
          <w:tab w:val="left" w:pos="0"/>
          <w:tab w:val="left" w:pos="2850"/>
        </w:tabs>
        <w:spacing w:line="240" w:lineRule="atLeast"/>
        <w:rPr>
          <w:rFonts w:hint="eastAsia"/>
          <w:highlight w:val="none"/>
        </w:rPr>
      </w:pPr>
      <w:bookmarkStart w:id="967" w:name="_Toc556"/>
      <w:bookmarkStart w:id="968" w:name="_Toc10352"/>
      <w:bookmarkStart w:id="969" w:name="_Toc1933"/>
      <w:bookmarkStart w:id="970" w:name="_Toc11675"/>
      <w:bookmarkStart w:id="971" w:name="_Toc12876"/>
      <w:r>
        <w:rPr>
          <w:rFonts w:hint="eastAsia"/>
          <w:highlight w:val="none"/>
        </w:rPr>
        <w:t>第7章 政府采购合同格式</w:t>
      </w:r>
      <w:bookmarkEnd w:id="967"/>
      <w:bookmarkEnd w:id="968"/>
      <w:bookmarkEnd w:id="969"/>
      <w:bookmarkEnd w:id="970"/>
      <w:bookmarkEnd w:id="971"/>
    </w:p>
    <w:p w14:paraId="62ADB5B9">
      <w:pPr>
        <w:spacing w:line="240" w:lineRule="atLeast"/>
        <w:ind w:left="1157" w:leftChars="257" w:hanging="540"/>
        <w:jc w:val="center"/>
        <w:rPr>
          <w:rFonts w:hint="eastAsia"/>
          <w:szCs w:val="21"/>
          <w:highlight w:val="none"/>
        </w:rPr>
      </w:pPr>
    </w:p>
    <w:p w14:paraId="3D2173AB">
      <w:pPr>
        <w:tabs>
          <w:tab w:val="left" w:pos="5580"/>
        </w:tabs>
        <w:spacing w:line="600" w:lineRule="exact"/>
        <w:ind w:firstLine="480"/>
        <w:rPr>
          <w:rFonts w:hint="eastAsia"/>
          <w:szCs w:val="20"/>
          <w:highlight w:val="none"/>
        </w:rPr>
      </w:pPr>
      <w:r>
        <w:rPr>
          <w:rFonts w:hint="eastAsia"/>
          <w:szCs w:val="20"/>
          <w:highlight w:val="none"/>
        </w:rPr>
        <w:t>此合同仅供参考。以最终采购人与成交供应商签定的合同条款为准进行公示，最终签定合同的主要条款不能与竞争性磋商文件冲突。</w:t>
      </w:r>
    </w:p>
    <w:p w14:paraId="475F2B75">
      <w:pPr>
        <w:jc w:val="center"/>
        <w:rPr>
          <w:rFonts w:hint="eastAsia"/>
          <w:highlight w:val="none"/>
        </w:rPr>
      </w:pPr>
    </w:p>
    <w:p w14:paraId="2912F428">
      <w:pPr>
        <w:pStyle w:val="10"/>
        <w:rPr>
          <w:rFonts w:hint="eastAsia"/>
          <w:highlight w:val="none"/>
        </w:rPr>
      </w:pPr>
    </w:p>
    <w:p w14:paraId="572D7567">
      <w:pPr>
        <w:snapToGrid w:val="0"/>
        <w:jc w:val="center"/>
        <w:textAlignment w:val="baseline"/>
        <w:outlineLvl w:val="0"/>
        <w:rPr>
          <w:rFonts w:hint="default"/>
          <w:b/>
          <w:bCs/>
          <w:highlight w:val="none"/>
          <w:lang w:val="en-US"/>
        </w:rPr>
      </w:pPr>
      <w:bookmarkStart w:id="972" w:name="_Toc31045"/>
      <w:r>
        <w:rPr>
          <w:rFonts w:hint="eastAsia"/>
          <w:b/>
          <w:bCs/>
          <w:sz w:val="36"/>
          <w:szCs w:val="36"/>
          <w:highlight w:val="none"/>
          <w:lang w:eastAsia="zh-CN"/>
        </w:rPr>
        <w:t>菏泽市住房和城乡建设局2025年度第三方质量安全辅助巡查服务项目</w:t>
      </w:r>
      <w:bookmarkEnd w:id="972"/>
    </w:p>
    <w:p w14:paraId="05FDC637">
      <w:pPr>
        <w:spacing w:line="240" w:lineRule="atLeast"/>
        <w:ind w:left="1157" w:leftChars="257" w:hanging="540"/>
        <w:jc w:val="center"/>
        <w:rPr>
          <w:rFonts w:hint="eastAsia"/>
          <w:highlight w:val="none"/>
        </w:rPr>
      </w:pPr>
    </w:p>
    <w:p w14:paraId="73A9DEA1">
      <w:pPr>
        <w:spacing w:line="240" w:lineRule="atLeast"/>
        <w:ind w:left="1157" w:leftChars="257" w:hanging="540"/>
        <w:jc w:val="center"/>
        <w:rPr>
          <w:rFonts w:hint="eastAsia"/>
          <w:highlight w:val="none"/>
        </w:rPr>
      </w:pPr>
    </w:p>
    <w:p w14:paraId="56CEBE99">
      <w:pPr>
        <w:spacing w:line="240" w:lineRule="atLeast"/>
        <w:ind w:left="1157" w:leftChars="257" w:hanging="540"/>
        <w:jc w:val="center"/>
        <w:rPr>
          <w:rFonts w:hint="eastAsia"/>
          <w:highlight w:val="none"/>
        </w:rPr>
      </w:pPr>
    </w:p>
    <w:p w14:paraId="5472D404">
      <w:pPr>
        <w:spacing w:line="240" w:lineRule="atLeast"/>
        <w:ind w:left="1157" w:leftChars="257" w:hanging="540"/>
        <w:jc w:val="center"/>
        <w:rPr>
          <w:rFonts w:hint="eastAsia"/>
          <w:highlight w:val="none"/>
        </w:rPr>
      </w:pPr>
    </w:p>
    <w:p w14:paraId="2D68F90D">
      <w:pPr>
        <w:snapToGrid w:val="0"/>
        <w:spacing w:line="500" w:lineRule="exact"/>
        <w:jc w:val="center"/>
        <w:textAlignment w:val="baseline"/>
        <w:rPr>
          <w:rFonts w:hint="eastAsia" w:eastAsia="宋体"/>
          <w:color w:val="000000"/>
          <w:sz w:val="30"/>
          <w:szCs w:val="30"/>
          <w:highlight w:val="none"/>
          <w:lang w:val="en-US" w:eastAsia="zh-CN"/>
        </w:rPr>
      </w:pPr>
      <w:r>
        <w:rPr>
          <w:rFonts w:hint="eastAsia"/>
          <w:color w:val="000000"/>
          <w:sz w:val="30"/>
          <w:szCs w:val="30"/>
          <w:highlight w:val="none"/>
          <w:lang w:val="en-US" w:eastAsia="zh-CN"/>
        </w:rPr>
        <w:t>包号：</w:t>
      </w:r>
    </w:p>
    <w:p w14:paraId="2F27308E">
      <w:pPr>
        <w:pStyle w:val="12"/>
        <w:ind w:left="960" w:hanging="480"/>
        <w:rPr>
          <w:highlight w:val="none"/>
        </w:rPr>
      </w:pPr>
    </w:p>
    <w:p w14:paraId="06C2CE6B">
      <w:pPr>
        <w:pStyle w:val="12"/>
        <w:ind w:left="960" w:hanging="480"/>
        <w:rPr>
          <w:highlight w:val="none"/>
        </w:rPr>
      </w:pPr>
    </w:p>
    <w:p w14:paraId="2A9E52C2">
      <w:pPr>
        <w:pStyle w:val="12"/>
        <w:ind w:left="960" w:hanging="480"/>
        <w:rPr>
          <w:highlight w:val="none"/>
        </w:rPr>
      </w:pPr>
    </w:p>
    <w:p w14:paraId="09E660A7">
      <w:pPr>
        <w:pStyle w:val="12"/>
        <w:ind w:left="960" w:hanging="480"/>
        <w:rPr>
          <w:highlight w:val="none"/>
        </w:rPr>
      </w:pPr>
    </w:p>
    <w:p w14:paraId="3F94F690">
      <w:pPr>
        <w:pStyle w:val="12"/>
        <w:ind w:left="960" w:hanging="480"/>
        <w:rPr>
          <w:highlight w:val="none"/>
        </w:rPr>
      </w:pPr>
    </w:p>
    <w:p w14:paraId="0D7E8058">
      <w:pPr>
        <w:snapToGrid w:val="0"/>
        <w:ind w:firstLine="1800" w:firstLineChars="600"/>
        <w:textAlignment w:val="baseline"/>
        <w:outlineLvl w:val="0"/>
        <w:rPr>
          <w:rFonts w:hint="eastAsia"/>
          <w:color w:val="000000"/>
          <w:sz w:val="30"/>
          <w:szCs w:val="30"/>
          <w:highlight w:val="none"/>
        </w:rPr>
      </w:pPr>
      <w:bookmarkStart w:id="973" w:name="_Toc23332"/>
      <w:bookmarkStart w:id="974" w:name="_Toc29537"/>
      <w:bookmarkStart w:id="975" w:name="_Toc30390"/>
      <w:bookmarkStart w:id="976" w:name="_Toc21319"/>
      <w:bookmarkStart w:id="977" w:name="_Toc10157"/>
      <w:bookmarkStart w:id="978" w:name="_Toc13385"/>
      <w:bookmarkStart w:id="979" w:name="_Toc24604"/>
      <w:bookmarkStart w:id="980" w:name="_Toc31186"/>
      <w:bookmarkStart w:id="981" w:name="_Toc19778"/>
      <w:r>
        <w:rPr>
          <w:rFonts w:hint="eastAsia"/>
          <w:color w:val="000000"/>
          <w:sz w:val="30"/>
          <w:szCs w:val="30"/>
          <w:highlight w:val="none"/>
        </w:rPr>
        <w:t>甲方：</w:t>
      </w:r>
      <w:bookmarkEnd w:id="973"/>
      <w:bookmarkEnd w:id="974"/>
      <w:bookmarkEnd w:id="975"/>
      <w:bookmarkEnd w:id="976"/>
      <w:bookmarkEnd w:id="977"/>
      <w:bookmarkEnd w:id="978"/>
      <w:bookmarkEnd w:id="979"/>
      <w:bookmarkEnd w:id="980"/>
      <w:bookmarkEnd w:id="981"/>
      <w:r>
        <w:rPr>
          <w:rFonts w:hint="eastAsia"/>
          <w:color w:val="000000"/>
          <w:sz w:val="30"/>
          <w:szCs w:val="30"/>
          <w:highlight w:val="none"/>
        </w:rPr>
        <w:t xml:space="preserve"> </w:t>
      </w:r>
    </w:p>
    <w:p w14:paraId="490E71C1">
      <w:pPr>
        <w:snapToGrid w:val="0"/>
        <w:ind w:firstLine="1800" w:firstLineChars="600"/>
        <w:textAlignment w:val="baseline"/>
        <w:rPr>
          <w:rFonts w:hint="eastAsia"/>
          <w:color w:val="000000"/>
          <w:sz w:val="30"/>
          <w:szCs w:val="30"/>
          <w:highlight w:val="none"/>
        </w:rPr>
      </w:pPr>
      <w:r>
        <w:rPr>
          <w:rFonts w:hint="eastAsia"/>
          <w:color w:val="000000"/>
          <w:sz w:val="30"/>
          <w:szCs w:val="30"/>
          <w:highlight w:val="none"/>
        </w:rPr>
        <w:t xml:space="preserve">                           </w:t>
      </w:r>
    </w:p>
    <w:p w14:paraId="4A2EE562">
      <w:pPr>
        <w:snapToGrid w:val="0"/>
        <w:ind w:firstLine="1800" w:firstLineChars="600"/>
        <w:textAlignment w:val="baseline"/>
        <w:outlineLvl w:val="0"/>
        <w:rPr>
          <w:rFonts w:hint="eastAsia"/>
          <w:color w:val="000000"/>
          <w:sz w:val="30"/>
          <w:szCs w:val="30"/>
          <w:highlight w:val="none"/>
        </w:rPr>
      </w:pPr>
      <w:bookmarkStart w:id="982" w:name="_Toc7350"/>
      <w:bookmarkStart w:id="983" w:name="_Toc238"/>
      <w:bookmarkStart w:id="984" w:name="_Toc15134"/>
      <w:bookmarkStart w:id="985" w:name="_Toc31090"/>
      <w:bookmarkStart w:id="986" w:name="_Toc22735"/>
      <w:bookmarkStart w:id="987" w:name="_Toc17419"/>
      <w:bookmarkStart w:id="988" w:name="_Toc32013"/>
      <w:bookmarkStart w:id="989" w:name="_Toc19933"/>
      <w:bookmarkStart w:id="990" w:name="_Toc31303"/>
      <w:r>
        <w:rPr>
          <w:rFonts w:hint="eastAsia"/>
          <w:color w:val="000000"/>
          <w:sz w:val="30"/>
          <w:szCs w:val="30"/>
          <w:highlight w:val="none"/>
        </w:rPr>
        <w:t>乙方：</w:t>
      </w:r>
      <w:bookmarkEnd w:id="982"/>
      <w:bookmarkEnd w:id="983"/>
      <w:bookmarkEnd w:id="984"/>
      <w:bookmarkEnd w:id="985"/>
      <w:bookmarkEnd w:id="986"/>
      <w:bookmarkEnd w:id="987"/>
      <w:bookmarkEnd w:id="988"/>
      <w:bookmarkEnd w:id="989"/>
      <w:bookmarkEnd w:id="990"/>
    </w:p>
    <w:p w14:paraId="0422CC81">
      <w:pPr>
        <w:snapToGrid w:val="0"/>
        <w:ind w:firstLine="1800" w:firstLineChars="600"/>
        <w:textAlignment w:val="baseline"/>
        <w:rPr>
          <w:rFonts w:hint="eastAsia"/>
          <w:highlight w:val="none"/>
        </w:rPr>
      </w:pPr>
      <w:r>
        <w:rPr>
          <w:rFonts w:hint="eastAsia"/>
          <w:color w:val="000000"/>
          <w:sz w:val="30"/>
          <w:szCs w:val="30"/>
          <w:highlight w:val="none"/>
        </w:rPr>
        <w:t xml:space="preserve">                           </w:t>
      </w:r>
    </w:p>
    <w:p w14:paraId="460C138E">
      <w:pPr>
        <w:ind w:firstLine="1800" w:firstLineChars="600"/>
        <w:outlineLvl w:val="0"/>
        <w:rPr>
          <w:rFonts w:hint="eastAsia"/>
          <w:szCs w:val="21"/>
          <w:highlight w:val="none"/>
        </w:rPr>
      </w:pPr>
      <w:bookmarkStart w:id="991" w:name="_Toc17930"/>
      <w:bookmarkStart w:id="992" w:name="_Toc22220"/>
      <w:bookmarkStart w:id="993" w:name="_Toc8547"/>
      <w:bookmarkStart w:id="994" w:name="_Toc9985"/>
      <w:bookmarkStart w:id="995" w:name="_Toc21589"/>
      <w:bookmarkStart w:id="996" w:name="_Toc17983"/>
      <w:bookmarkStart w:id="997" w:name="_Toc18712"/>
      <w:bookmarkStart w:id="998" w:name="_Toc29612"/>
      <w:bookmarkStart w:id="999" w:name="_Toc19347"/>
      <w:r>
        <w:rPr>
          <w:rFonts w:hint="eastAsia"/>
          <w:color w:val="000000"/>
          <w:sz w:val="30"/>
          <w:szCs w:val="30"/>
          <w:highlight w:val="none"/>
        </w:rPr>
        <w:t>签订时间：       年     月    日</w:t>
      </w:r>
      <w:bookmarkEnd w:id="991"/>
      <w:bookmarkEnd w:id="992"/>
      <w:bookmarkEnd w:id="993"/>
      <w:bookmarkEnd w:id="994"/>
      <w:bookmarkEnd w:id="995"/>
      <w:bookmarkEnd w:id="996"/>
      <w:bookmarkEnd w:id="997"/>
      <w:bookmarkEnd w:id="998"/>
      <w:bookmarkEnd w:id="999"/>
    </w:p>
    <w:p w14:paraId="58570C3F">
      <w:pPr>
        <w:spacing w:line="240" w:lineRule="atLeast"/>
        <w:ind w:left="1157" w:leftChars="257" w:hanging="540"/>
        <w:jc w:val="center"/>
        <w:rPr>
          <w:rFonts w:hint="eastAsia"/>
          <w:szCs w:val="21"/>
          <w:highlight w:val="none"/>
        </w:rPr>
      </w:pPr>
    </w:p>
    <w:p w14:paraId="1E7DA8AD">
      <w:pPr>
        <w:spacing w:line="240" w:lineRule="atLeast"/>
        <w:ind w:left="1157" w:leftChars="257" w:hanging="540"/>
        <w:jc w:val="center"/>
        <w:rPr>
          <w:rFonts w:hint="eastAsia"/>
          <w:szCs w:val="21"/>
          <w:highlight w:val="none"/>
        </w:rPr>
      </w:pPr>
    </w:p>
    <w:p w14:paraId="55BCBBE1">
      <w:pPr>
        <w:spacing w:line="240" w:lineRule="atLeast"/>
        <w:ind w:left="1157" w:leftChars="257" w:hanging="540"/>
        <w:jc w:val="center"/>
        <w:rPr>
          <w:rFonts w:hint="eastAsia"/>
          <w:szCs w:val="21"/>
          <w:highlight w:val="none"/>
        </w:rPr>
      </w:pPr>
    </w:p>
    <w:p w14:paraId="44808812">
      <w:pPr>
        <w:spacing w:line="240" w:lineRule="atLeast"/>
        <w:ind w:left="1157" w:leftChars="257" w:hanging="540"/>
        <w:jc w:val="center"/>
        <w:rPr>
          <w:rFonts w:hint="eastAsia"/>
          <w:szCs w:val="21"/>
          <w:highlight w:val="none"/>
        </w:rPr>
      </w:pPr>
    </w:p>
    <w:p w14:paraId="11F0F282">
      <w:pPr>
        <w:spacing w:line="240" w:lineRule="atLeast"/>
        <w:ind w:left="1157" w:leftChars="257" w:hanging="540"/>
        <w:jc w:val="center"/>
        <w:rPr>
          <w:rFonts w:hint="eastAsia"/>
          <w:szCs w:val="21"/>
          <w:highlight w:val="none"/>
        </w:rPr>
      </w:pPr>
    </w:p>
    <w:p w14:paraId="63942224">
      <w:pPr>
        <w:rPr>
          <w:rFonts w:hint="eastAsia"/>
          <w:color w:val="000000"/>
          <w:highlight w:val="none"/>
          <w:u w:val="single"/>
        </w:rPr>
      </w:pPr>
      <w:r>
        <w:rPr>
          <w:rFonts w:hint="eastAsia"/>
          <w:color w:val="000000"/>
          <w:highlight w:val="none"/>
        </w:rPr>
        <w:br w:type="page"/>
      </w:r>
    </w:p>
    <w:p w14:paraId="44EEB2C4">
      <w:pPr>
        <w:snapToGrid w:val="0"/>
        <w:textAlignment w:val="baseline"/>
        <w:rPr>
          <w:rFonts w:hint="eastAsia"/>
          <w:color w:val="000000"/>
          <w:highlight w:val="none"/>
          <w:u w:val="single"/>
        </w:rPr>
      </w:pPr>
      <w:bookmarkStart w:id="1000" w:name="_Toc13457"/>
      <w:bookmarkStart w:id="1001" w:name="_Toc4857"/>
      <w:r>
        <w:rPr>
          <w:rFonts w:hint="eastAsia"/>
          <w:color w:val="000000"/>
          <w:highlight w:val="none"/>
        </w:rPr>
        <w:t>甲方（采购人）：</w:t>
      </w:r>
      <w:r>
        <w:rPr>
          <w:rFonts w:hint="eastAsia"/>
          <w:color w:val="000000"/>
          <w:highlight w:val="none"/>
          <w:u w:val="single"/>
        </w:rPr>
        <w:t xml:space="preserve">                          </w:t>
      </w:r>
    </w:p>
    <w:p w14:paraId="144CF46E">
      <w:pPr>
        <w:snapToGrid w:val="0"/>
        <w:textAlignment w:val="baseline"/>
        <w:rPr>
          <w:rFonts w:hint="eastAsia"/>
          <w:color w:val="000000"/>
          <w:sz w:val="20"/>
          <w:highlight w:val="none"/>
          <w:u w:val="single"/>
        </w:rPr>
      </w:pPr>
      <w:r>
        <w:rPr>
          <w:rFonts w:hint="eastAsia"/>
          <w:color w:val="000000"/>
          <w:highlight w:val="none"/>
        </w:rPr>
        <w:t>乙方（成交供应商）：</w:t>
      </w:r>
      <w:r>
        <w:rPr>
          <w:rFonts w:hint="eastAsia"/>
          <w:color w:val="000000"/>
          <w:highlight w:val="none"/>
          <w:u w:val="single"/>
        </w:rPr>
        <w:t xml:space="preserve">                      </w:t>
      </w:r>
    </w:p>
    <w:p w14:paraId="6749D0AA">
      <w:pPr>
        <w:pStyle w:val="38"/>
        <w:snapToGrid w:val="0"/>
        <w:textAlignment w:val="baseline"/>
        <w:rPr>
          <w:rFonts w:hint="eastAsia"/>
          <w:color w:val="000000"/>
          <w:highlight w:val="none"/>
        </w:rPr>
      </w:pPr>
      <w:r>
        <w:rPr>
          <w:rFonts w:hint="eastAsia"/>
          <w:color w:val="000000"/>
          <w:highlight w:val="none"/>
        </w:rPr>
        <w:t>以</w:t>
      </w:r>
      <w:r>
        <w:rPr>
          <w:rFonts w:hint="eastAsia"/>
          <w:color w:val="000000"/>
          <w:highlight w:val="none"/>
          <w:u w:val="single"/>
          <w:lang w:eastAsia="zh-CN"/>
        </w:rPr>
        <w:t>菏泽市住房和城乡建设局2025年度第三方质量安全辅助巡查服务项目</w:t>
      </w:r>
      <w:r>
        <w:rPr>
          <w:rFonts w:hint="eastAsia"/>
          <w:color w:val="000000"/>
          <w:highlight w:val="none"/>
        </w:rPr>
        <w:t>竞争性磋商文件在国内以竞争性磋商方式进行采购。甲、乙双方根据《中华人民共和国政府采购法》、《中华人民共和国民法典》等相关法律以及本项目竞争性磋商文件的规定，经平等协商达成合同如下：</w:t>
      </w:r>
    </w:p>
    <w:p w14:paraId="15D6E626">
      <w:pPr>
        <w:rPr>
          <w:rFonts w:hint="eastAsia"/>
          <w:b/>
          <w:bCs/>
          <w:highlight w:val="none"/>
        </w:rPr>
      </w:pPr>
      <w:r>
        <w:rPr>
          <w:rFonts w:hint="eastAsia"/>
          <w:b/>
          <w:bCs/>
          <w:highlight w:val="none"/>
        </w:rPr>
        <w:t>一、合同组成</w:t>
      </w:r>
    </w:p>
    <w:p w14:paraId="7047F1DB">
      <w:pPr>
        <w:pStyle w:val="38"/>
        <w:snapToGrid w:val="0"/>
        <w:textAlignment w:val="baseline"/>
        <w:rPr>
          <w:rFonts w:hint="eastAsia"/>
          <w:color w:val="000000"/>
          <w:highlight w:val="none"/>
        </w:rPr>
      </w:pPr>
      <w:r>
        <w:rPr>
          <w:rFonts w:hint="eastAsia"/>
          <w:color w:val="000000"/>
          <w:highlight w:val="none"/>
        </w:rPr>
        <w:t>本合同所附下列文件是构成本合同不可分割的部分：</w:t>
      </w:r>
    </w:p>
    <w:p w14:paraId="1316454A">
      <w:pPr>
        <w:ind w:left="400"/>
        <w:rPr>
          <w:rFonts w:hint="eastAsia" w:eastAsia="宋体"/>
          <w:highlight w:val="none"/>
          <w:lang w:eastAsia="zh-CN"/>
        </w:rPr>
      </w:pPr>
      <w:r>
        <w:rPr>
          <w:rFonts w:hint="eastAsia"/>
          <w:highlight w:val="none"/>
        </w:rPr>
        <w:t>1.本项目竞争性磋商文件</w:t>
      </w:r>
      <w:r>
        <w:rPr>
          <w:rFonts w:hint="eastAsia"/>
          <w:highlight w:val="none"/>
          <w:lang w:eastAsia="zh-CN"/>
        </w:rPr>
        <w:t>；</w:t>
      </w:r>
    </w:p>
    <w:p w14:paraId="586CDC8E">
      <w:pPr>
        <w:ind w:left="400"/>
        <w:rPr>
          <w:rFonts w:hint="eastAsia" w:eastAsia="宋体"/>
          <w:highlight w:val="none"/>
          <w:lang w:eastAsia="zh-CN"/>
        </w:rPr>
      </w:pPr>
      <w:r>
        <w:rPr>
          <w:rFonts w:hint="eastAsia"/>
          <w:highlight w:val="none"/>
        </w:rPr>
        <w:t>2.成交供应商响应文件</w:t>
      </w:r>
      <w:r>
        <w:rPr>
          <w:rFonts w:hint="eastAsia"/>
          <w:highlight w:val="none"/>
          <w:lang w:eastAsia="zh-CN"/>
        </w:rPr>
        <w:t>；</w:t>
      </w:r>
    </w:p>
    <w:p w14:paraId="63562806">
      <w:pPr>
        <w:ind w:left="400"/>
        <w:rPr>
          <w:rFonts w:hint="eastAsia" w:eastAsia="宋体"/>
          <w:highlight w:val="none"/>
          <w:lang w:eastAsia="zh-CN"/>
        </w:rPr>
      </w:pPr>
      <w:r>
        <w:rPr>
          <w:rFonts w:hint="eastAsia"/>
          <w:highlight w:val="none"/>
        </w:rPr>
        <w:t>3.合同格式、合同条款</w:t>
      </w:r>
      <w:r>
        <w:rPr>
          <w:rFonts w:hint="eastAsia"/>
          <w:highlight w:val="none"/>
          <w:lang w:eastAsia="zh-CN"/>
        </w:rPr>
        <w:t>；</w:t>
      </w:r>
    </w:p>
    <w:p w14:paraId="7B4A525B">
      <w:pPr>
        <w:ind w:left="400"/>
        <w:rPr>
          <w:rFonts w:hint="eastAsia" w:eastAsia="宋体"/>
          <w:highlight w:val="none"/>
          <w:lang w:eastAsia="zh-CN"/>
        </w:rPr>
      </w:pPr>
      <w:r>
        <w:rPr>
          <w:rFonts w:hint="eastAsia"/>
          <w:highlight w:val="none"/>
        </w:rPr>
        <w:t>4.成交供应商在评审过程中做出的有关澄清、说明或者补正文件</w:t>
      </w:r>
      <w:r>
        <w:rPr>
          <w:rFonts w:hint="eastAsia"/>
          <w:highlight w:val="none"/>
          <w:lang w:eastAsia="zh-CN"/>
        </w:rPr>
        <w:t>；</w:t>
      </w:r>
    </w:p>
    <w:p w14:paraId="6D4667A4">
      <w:pPr>
        <w:ind w:left="400"/>
        <w:rPr>
          <w:rFonts w:hint="eastAsia" w:eastAsia="宋体"/>
          <w:highlight w:val="none"/>
          <w:lang w:eastAsia="zh-CN"/>
        </w:rPr>
      </w:pPr>
      <w:r>
        <w:rPr>
          <w:rFonts w:hint="eastAsia"/>
          <w:highlight w:val="none"/>
        </w:rPr>
        <w:t>5.成交通知书</w:t>
      </w:r>
      <w:r>
        <w:rPr>
          <w:rFonts w:hint="eastAsia"/>
          <w:highlight w:val="none"/>
          <w:lang w:eastAsia="zh-CN"/>
        </w:rPr>
        <w:t>；</w:t>
      </w:r>
    </w:p>
    <w:p w14:paraId="4102DEB6">
      <w:pPr>
        <w:ind w:left="400"/>
        <w:rPr>
          <w:rFonts w:hint="eastAsia" w:eastAsia="宋体"/>
          <w:highlight w:val="none"/>
          <w:lang w:eastAsia="zh-CN"/>
        </w:rPr>
      </w:pPr>
      <w:r>
        <w:rPr>
          <w:rFonts w:hint="eastAsia"/>
          <w:highlight w:val="none"/>
        </w:rPr>
        <w:t>6.本合同附件</w:t>
      </w:r>
      <w:r>
        <w:rPr>
          <w:rFonts w:hint="eastAsia"/>
          <w:highlight w:val="none"/>
          <w:lang w:eastAsia="zh-CN"/>
        </w:rPr>
        <w:t>。</w:t>
      </w:r>
    </w:p>
    <w:p w14:paraId="2626C7C2">
      <w:pPr>
        <w:rPr>
          <w:rFonts w:hint="eastAsia"/>
          <w:b/>
          <w:bCs/>
          <w:highlight w:val="none"/>
        </w:rPr>
      </w:pPr>
      <w:r>
        <w:rPr>
          <w:rFonts w:hint="eastAsia"/>
          <w:b/>
          <w:bCs/>
          <w:highlight w:val="none"/>
        </w:rPr>
        <w:t>二、</w:t>
      </w:r>
      <w:r>
        <w:rPr>
          <w:rFonts w:hint="eastAsia" w:ascii="宋体" w:hAnsi="宋体" w:eastAsia="宋体" w:cs="宋体"/>
          <w:b/>
          <w:bCs/>
          <w:highlight w:val="none"/>
        </w:rPr>
        <w:t>合同</w:t>
      </w:r>
      <w:r>
        <w:rPr>
          <w:rFonts w:hint="eastAsia" w:cs="宋体"/>
          <w:b/>
          <w:bCs/>
          <w:highlight w:val="none"/>
          <w:lang w:val="en-US" w:eastAsia="zh-CN"/>
        </w:rPr>
        <w:t>金额</w:t>
      </w:r>
    </w:p>
    <w:p w14:paraId="38CA1693">
      <w:pPr>
        <w:ind w:firstLine="480" w:firstLineChars="200"/>
        <w:rPr>
          <w:rFonts w:hint="eastAsia"/>
          <w:highlight w:val="none"/>
        </w:rPr>
      </w:pPr>
      <w:r>
        <w:rPr>
          <w:highlight w:val="none"/>
        </w:rPr>
        <w:t>本项目合同</w:t>
      </w:r>
      <w:r>
        <w:rPr>
          <w:rFonts w:hint="eastAsia"/>
          <w:highlight w:val="none"/>
          <w:lang w:val="en-US" w:eastAsia="zh-CN"/>
        </w:rPr>
        <w:t>金额</w:t>
      </w:r>
      <w:r>
        <w:rPr>
          <w:highlight w:val="none"/>
        </w:rPr>
        <w:t>为</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r>
        <w:rPr>
          <w:highlight w:val="none"/>
        </w:rPr>
        <w:t>（大写：</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r>
        <w:rPr>
          <w:highlight w:val="none"/>
        </w:rPr>
        <w:t>）</w:t>
      </w:r>
      <w:r>
        <w:rPr>
          <w:rFonts w:hint="eastAsia"/>
          <w:highlight w:val="none"/>
        </w:rPr>
        <w:t>。</w:t>
      </w:r>
    </w:p>
    <w:p w14:paraId="3BD0C89D">
      <w:pPr>
        <w:rPr>
          <w:rFonts w:hint="eastAsia"/>
          <w:b/>
          <w:bCs/>
          <w:highlight w:val="none"/>
        </w:rPr>
      </w:pPr>
      <w:r>
        <w:rPr>
          <w:rFonts w:hint="eastAsia"/>
          <w:b/>
          <w:bCs/>
          <w:highlight w:val="none"/>
        </w:rPr>
        <w:t>三、付款方式</w:t>
      </w:r>
    </w:p>
    <w:p w14:paraId="53AD0640">
      <w:pPr>
        <w:pStyle w:val="15"/>
        <w:rPr>
          <w:highlight w:val="none"/>
          <w:u w:val="single"/>
        </w:rPr>
      </w:pPr>
      <w:r>
        <w:rPr>
          <w:rFonts w:hint="eastAsia"/>
          <w:highlight w:val="none"/>
        </w:rPr>
        <w:t xml:space="preserve">    </w:t>
      </w:r>
      <w:r>
        <w:rPr>
          <w:rFonts w:hint="eastAsia"/>
          <w:highlight w:val="none"/>
          <w:u w:val="single"/>
        </w:rPr>
        <w:t xml:space="preserve">                                                                       </w:t>
      </w:r>
    </w:p>
    <w:p w14:paraId="2FD5AF93">
      <w:pPr>
        <w:numPr>
          <w:ilvl w:val="0"/>
          <w:numId w:val="8"/>
        </w:numPr>
        <w:rPr>
          <w:rFonts w:hint="eastAsia"/>
          <w:b/>
          <w:bCs/>
          <w:highlight w:val="none"/>
          <w:u w:val="single"/>
        </w:rPr>
      </w:pPr>
      <w:r>
        <w:rPr>
          <w:rFonts w:hint="eastAsia"/>
          <w:b/>
          <w:bCs/>
          <w:highlight w:val="none"/>
        </w:rPr>
        <w:t>服务期限：</w:t>
      </w:r>
      <w:r>
        <w:rPr>
          <w:rFonts w:hint="eastAsia"/>
          <w:b/>
          <w:bCs/>
          <w:highlight w:val="none"/>
          <w:u w:val="single"/>
        </w:rPr>
        <w:t xml:space="preserve">                        </w:t>
      </w:r>
    </w:p>
    <w:p w14:paraId="33BD6A94">
      <w:pPr>
        <w:pStyle w:val="15"/>
        <w:ind w:firstLine="482" w:firstLineChars="200"/>
        <w:rPr>
          <w:highlight w:val="none"/>
          <w:u w:val="single"/>
        </w:rPr>
      </w:pPr>
      <w:r>
        <w:rPr>
          <w:rFonts w:hint="eastAsia" w:hAnsi="宋体"/>
          <w:b/>
          <w:bCs/>
          <w:szCs w:val="24"/>
          <w:highlight w:val="none"/>
        </w:rPr>
        <w:t>服务地点：</w:t>
      </w:r>
      <w:r>
        <w:rPr>
          <w:rFonts w:hint="eastAsia"/>
          <w:highlight w:val="none"/>
          <w:u w:val="single"/>
        </w:rPr>
        <w:t xml:space="preserve">                        </w:t>
      </w:r>
    </w:p>
    <w:p w14:paraId="04AE70E2">
      <w:pPr>
        <w:ind w:firstLine="482" w:firstLineChars="200"/>
        <w:rPr>
          <w:rFonts w:hint="eastAsia"/>
          <w:highlight w:val="none"/>
          <w:u w:val="single"/>
        </w:rPr>
      </w:pPr>
      <w:r>
        <w:rPr>
          <w:rFonts w:hint="eastAsia"/>
          <w:b/>
          <w:bCs/>
          <w:highlight w:val="none"/>
        </w:rPr>
        <w:t>服务内容：</w:t>
      </w:r>
      <w:r>
        <w:rPr>
          <w:rFonts w:hint="eastAsia"/>
          <w:highlight w:val="none"/>
          <w:u w:val="single"/>
        </w:rPr>
        <w:t xml:space="preserve">                        </w:t>
      </w:r>
    </w:p>
    <w:p w14:paraId="332D3BA9">
      <w:pPr>
        <w:pStyle w:val="15"/>
        <w:ind w:firstLine="482" w:firstLineChars="200"/>
        <w:rPr>
          <w:rFonts w:hint="eastAsia" w:hAnsi="宋体"/>
          <w:b/>
          <w:bCs/>
          <w:szCs w:val="24"/>
          <w:highlight w:val="none"/>
        </w:rPr>
      </w:pPr>
      <w:r>
        <w:rPr>
          <w:rFonts w:hint="eastAsia" w:hAnsi="宋体"/>
          <w:b/>
          <w:bCs/>
          <w:szCs w:val="24"/>
          <w:highlight w:val="none"/>
        </w:rPr>
        <w:t>服务标准：</w:t>
      </w:r>
      <w:r>
        <w:rPr>
          <w:rFonts w:hint="eastAsia"/>
          <w:highlight w:val="none"/>
          <w:u w:val="single"/>
        </w:rPr>
        <w:t xml:space="preserve">                        </w:t>
      </w:r>
    </w:p>
    <w:p w14:paraId="7FC9ED07">
      <w:pPr>
        <w:spacing w:line="360" w:lineRule="auto"/>
        <w:rPr>
          <w:rFonts w:hint="eastAsia" w:ascii="宋体" w:hAnsi="宋体" w:eastAsia="宋体" w:cs="宋体"/>
          <w:b/>
          <w:bCs/>
          <w:highlight w:val="none"/>
        </w:rPr>
      </w:pPr>
      <w:r>
        <w:rPr>
          <w:rFonts w:hint="eastAsia" w:ascii="宋体" w:hAnsi="宋体" w:eastAsia="宋体" w:cs="宋体"/>
          <w:b/>
          <w:bCs/>
          <w:highlight w:val="none"/>
        </w:rPr>
        <w:t>五、知识产权</w:t>
      </w:r>
    </w:p>
    <w:p w14:paraId="3FED214F">
      <w:pPr>
        <w:spacing w:line="360" w:lineRule="auto"/>
        <w:ind w:firstLine="480" w:firstLineChars="200"/>
        <w:rPr>
          <w:rFonts w:hint="eastAsia" w:ascii="宋体" w:hAnsi="宋体" w:eastAsia="宋体" w:cs="宋体"/>
          <w:color w:val="000000"/>
          <w:highlight w:val="none"/>
        </w:rPr>
      </w:pPr>
      <w:r>
        <w:rPr>
          <w:rFonts w:hint="eastAsia" w:ascii="宋体" w:hAnsi="宋体" w:eastAsia="宋体" w:cs="宋体"/>
          <w:highlight w:val="none"/>
        </w:rPr>
        <w:t>服务成果等归甲方所有，并且未经甲方同意，不得向第三方透露，同时乙方应保证甲方所使用的服务成果免受第三方提出的侵犯其知识产权的诉讼。</w:t>
      </w:r>
    </w:p>
    <w:p w14:paraId="265C9577">
      <w:pPr>
        <w:spacing w:line="360" w:lineRule="auto"/>
        <w:rPr>
          <w:rFonts w:hint="eastAsia" w:ascii="宋体" w:hAnsi="宋体" w:eastAsia="宋体" w:cs="宋体"/>
          <w:b/>
          <w:bCs/>
          <w:highlight w:val="none"/>
        </w:rPr>
      </w:pPr>
      <w:r>
        <w:rPr>
          <w:rFonts w:hint="eastAsia" w:ascii="宋体" w:hAnsi="宋体" w:eastAsia="宋体" w:cs="宋体"/>
          <w:b/>
          <w:bCs/>
          <w:highlight w:val="none"/>
        </w:rPr>
        <w:t>六、甲方责任和权利</w:t>
      </w:r>
    </w:p>
    <w:p w14:paraId="5CE6A396">
      <w:pPr>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rPr>
        <w:t>1、有权随时监督检查乙方该项目组织实施情况，对乙方实施该项目的组织结构、车辆、设备、人员有权提出监督指导意见，确保项目实施的顺利进行。</w:t>
      </w:r>
    </w:p>
    <w:p w14:paraId="6ADAE54D">
      <w:pPr>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rPr>
        <w:t>2、有权在乙方组织实施该项目过程中随时抽查确认。</w:t>
      </w:r>
    </w:p>
    <w:p w14:paraId="6300B677">
      <w:pPr>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rPr>
        <w:t>3、有权随时安排乙方从事临时性监督检查任务。</w:t>
      </w:r>
    </w:p>
    <w:p w14:paraId="2BC3A0B8">
      <w:pPr>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rPr>
        <w:t>4、有权对乙方的文档管理进行监督和检查。</w:t>
      </w:r>
    </w:p>
    <w:p w14:paraId="11EB31D3">
      <w:pPr>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rPr>
        <w:t>5、有权对乙方的现场考核表、考评报告、月（季、年)度报告、项目台账等资料进行审查、监督。</w:t>
      </w:r>
    </w:p>
    <w:p w14:paraId="6B4CEFF1">
      <w:pPr>
        <w:spacing w:line="360" w:lineRule="auto"/>
        <w:rPr>
          <w:rFonts w:hint="eastAsia" w:ascii="宋体" w:hAnsi="宋体" w:eastAsia="宋体" w:cs="宋体"/>
          <w:b/>
          <w:bCs/>
          <w:highlight w:val="none"/>
        </w:rPr>
      </w:pPr>
      <w:r>
        <w:rPr>
          <w:rFonts w:hint="eastAsia" w:ascii="宋体" w:hAnsi="宋体" w:cs="宋体"/>
          <w:b/>
          <w:bCs/>
          <w:highlight w:val="none"/>
          <w:lang w:val="en-US" w:eastAsia="zh-CN"/>
        </w:rPr>
        <w:t>七</w:t>
      </w:r>
      <w:r>
        <w:rPr>
          <w:rFonts w:hint="eastAsia" w:ascii="宋体" w:hAnsi="宋体" w:eastAsia="宋体" w:cs="宋体"/>
          <w:b/>
          <w:bCs/>
          <w:highlight w:val="none"/>
        </w:rPr>
        <w:t>、乙方责任和权利</w:t>
      </w:r>
    </w:p>
    <w:p w14:paraId="587731F4">
      <w:pPr>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rPr>
        <w:t>1、在该项目的实施过程中，有受甲方委托对所确定的范围和内容进行考评的权利。</w:t>
      </w:r>
    </w:p>
    <w:p w14:paraId="07A6EC98">
      <w:pPr>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rPr>
        <w:t>2、在相关检查范围和内容界限不清的情况下，有权要求甲方予以明确，甲方应积极协调、明确。</w:t>
      </w:r>
    </w:p>
    <w:p w14:paraId="75D360F3">
      <w:pPr>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rPr>
        <w:t>3、应制定该项目的各项管理办法、规章制度及岗位责任。</w:t>
      </w:r>
    </w:p>
    <w:p w14:paraId="2CF0D757">
      <w:pPr>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rPr>
        <w:t>4、在安全条件允许情况下，对在检查过程中发现的严重违规行为予以劝阻，甲方给予支持。</w:t>
      </w:r>
    </w:p>
    <w:p w14:paraId="78540F96">
      <w:pPr>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rPr>
        <w:t>5、接到甲方安排临时性联合监督检查任务，有义务积极配合。</w:t>
      </w:r>
    </w:p>
    <w:p w14:paraId="01232F97">
      <w:pPr>
        <w:spacing w:line="360" w:lineRule="auto"/>
        <w:ind w:firstLine="48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6、加强员工的业务培训，提高员工的业务能力和检查水平。</w:t>
      </w:r>
    </w:p>
    <w:p w14:paraId="078B8412">
      <w:pPr>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lang w:val="en-US" w:eastAsia="zh-CN"/>
        </w:rPr>
        <w:t>7、有配合甲方接受项目审计的义务</w:t>
      </w:r>
      <w:r>
        <w:rPr>
          <w:rFonts w:hint="eastAsia" w:ascii="宋体" w:hAnsi="宋体" w:eastAsia="宋体" w:cs="宋体"/>
          <w:highlight w:val="none"/>
        </w:rPr>
        <w:t>。</w:t>
      </w:r>
    </w:p>
    <w:p w14:paraId="04F6CFA7">
      <w:pPr>
        <w:spacing w:line="360" w:lineRule="auto"/>
        <w:rPr>
          <w:rFonts w:hint="eastAsia" w:ascii="宋体" w:hAnsi="宋体" w:eastAsia="宋体" w:cs="宋体"/>
          <w:b/>
          <w:bCs/>
          <w:highlight w:val="none"/>
          <w:lang w:eastAsia="zh-CN"/>
        </w:rPr>
      </w:pPr>
      <w:r>
        <w:rPr>
          <w:rFonts w:hint="eastAsia" w:ascii="宋体" w:hAnsi="宋体" w:cs="宋体"/>
          <w:b/>
          <w:bCs/>
          <w:highlight w:val="none"/>
          <w:lang w:val="en-US" w:eastAsia="zh-CN"/>
        </w:rPr>
        <w:t>八</w:t>
      </w:r>
      <w:r>
        <w:rPr>
          <w:rFonts w:hint="eastAsia" w:ascii="宋体" w:hAnsi="宋体" w:eastAsia="宋体" w:cs="宋体"/>
          <w:b/>
          <w:bCs/>
          <w:highlight w:val="none"/>
        </w:rPr>
        <w:t>、违约</w:t>
      </w:r>
      <w:r>
        <w:rPr>
          <w:rFonts w:hint="eastAsia" w:ascii="宋体" w:hAnsi="宋体" w:cs="宋体"/>
          <w:b/>
          <w:bCs/>
          <w:highlight w:val="none"/>
          <w:lang w:val="en-US" w:eastAsia="zh-CN"/>
        </w:rPr>
        <w:t>条款</w:t>
      </w:r>
    </w:p>
    <w:p w14:paraId="346B9BC0">
      <w:pPr>
        <w:spacing w:line="360" w:lineRule="auto"/>
        <w:ind w:firstLine="48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 xml:space="preserve">1、乙方应按时提供服务，每延迟1日，按合同金额的5‰支付违约金。 </w:t>
      </w:r>
    </w:p>
    <w:p w14:paraId="57C0BD6E">
      <w:pPr>
        <w:spacing w:line="360" w:lineRule="auto"/>
        <w:ind w:firstLine="48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 xml:space="preserve">2、一方不按期履行合同，并经另一方提示后5日内仍不履行合同的，守约方有权解除合同，违约方要承担相应的法律责任。 </w:t>
      </w:r>
    </w:p>
    <w:p w14:paraId="181FF721">
      <w:pPr>
        <w:spacing w:line="360" w:lineRule="auto"/>
        <w:ind w:firstLine="48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 xml:space="preserve">3、如因一方违约，双方未能就赔偿损失达成协议，引起诉讼或仲裁时，违约方除应赔偿对方经济损失外，还应承担因诉讼或仲裁所支付的不局限于律师代理费等相关费用。 </w:t>
      </w:r>
    </w:p>
    <w:p w14:paraId="2750373C">
      <w:pPr>
        <w:wordWrap w:val="0"/>
        <w:spacing w:line="360" w:lineRule="auto"/>
        <w:ind w:firstLine="480" w:firstLineChars="200"/>
        <w:rPr>
          <w:rFonts w:hint="eastAsia" w:ascii="宋体" w:hAnsi="宋体" w:eastAsia="宋体" w:cs="宋体"/>
          <w:color w:val="000000"/>
          <w:highlight w:val="none"/>
        </w:rPr>
      </w:pPr>
      <w:r>
        <w:rPr>
          <w:rFonts w:hint="eastAsia" w:ascii="宋体" w:hAnsi="宋体" w:eastAsia="宋体" w:cs="宋体"/>
          <w:highlight w:val="none"/>
          <w:lang w:val="en-US" w:eastAsia="zh-CN"/>
        </w:rPr>
        <w:t>4、其它应承担的违约责任，以《中华人民共和国民法典》和其它有关法律、法规规定为准，无相关规定的，双方协商解决</w:t>
      </w:r>
      <w:r>
        <w:rPr>
          <w:rFonts w:hint="eastAsia" w:ascii="宋体" w:hAnsi="宋体" w:eastAsia="宋体" w:cs="宋体"/>
          <w:highlight w:val="none"/>
        </w:rPr>
        <w:t>。</w:t>
      </w:r>
    </w:p>
    <w:p w14:paraId="10C45532">
      <w:pPr>
        <w:spacing w:line="360" w:lineRule="auto"/>
        <w:rPr>
          <w:rFonts w:hint="eastAsia" w:ascii="宋体" w:hAnsi="宋体" w:eastAsia="宋体" w:cs="宋体"/>
          <w:b/>
          <w:bCs/>
          <w:highlight w:val="none"/>
        </w:rPr>
      </w:pPr>
      <w:r>
        <w:rPr>
          <w:rFonts w:hint="eastAsia" w:ascii="宋体" w:hAnsi="宋体" w:eastAsia="宋体" w:cs="宋体"/>
          <w:b/>
          <w:bCs/>
          <w:highlight w:val="none"/>
          <w:lang w:val="en-US" w:eastAsia="zh-CN"/>
        </w:rPr>
        <w:t>九</w:t>
      </w:r>
      <w:r>
        <w:rPr>
          <w:rFonts w:hint="eastAsia" w:ascii="宋体" w:hAnsi="宋体" w:eastAsia="宋体" w:cs="宋体"/>
          <w:b/>
          <w:bCs/>
          <w:highlight w:val="none"/>
        </w:rPr>
        <w:t>、保密条款</w:t>
      </w:r>
    </w:p>
    <w:p w14:paraId="631E8E04">
      <w:pPr>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rPr>
        <w:t>1、任何一方对其获知的本合同及附件中其他各方的商业秘密和国家秘密负有保密义务。</w:t>
      </w:r>
    </w:p>
    <w:p w14:paraId="6F8F7FFD">
      <w:pPr>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rPr>
        <w:t>2、在下列情形下：当发布中标公告和其他公告时，当国家机关调查、审查、审计时，以及其他符合法律规定的情形下，无须事先征求乙方同意而可以披露关于招标过程、合同文本、签署情况的资料、乙方的名称及地址、招标内容的有关信息以及补充条款等，但应当在合理的必要范围内。对任何已经公布过的内容或与之内容相同的资料，以及乙方已经泄露或公开的，无须再承担保密责任。</w:t>
      </w:r>
    </w:p>
    <w:p w14:paraId="2225679C">
      <w:pPr>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rPr>
        <w:t>3、此外的其他情形下，除非法律、法规另有规定或得到本合同之其他各方的书面许可，任何一方不得向第三人泄露前款规定的商业秘密和国家秘密。保密期限自任何一方获知该商业秘密和国家秘密之日起至本条规定的秘密成为公众信息之日止。</w:t>
      </w:r>
    </w:p>
    <w:p w14:paraId="652EF4C0">
      <w:pPr>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rPr>
        <w:t>4、如违反规定擅自泄露商业秘密和国家秘密的，应承担相应的法律责任。</w:t>
      </w:r>
    </w:p>
    <w:p w14:paraId="50CD567D">
      <w:pPr>
        <w:spacing w:line="360" w:lineRule="auto"/>
        <w:rPr>
          <w:rFonts w:hint="eastAsia" w:ascii="宋体" w:hAnsi="宋体" w:eastAsia="宋体" w:cs="宋体"/>
          <w:b/>
          <w:bCs/>
          <w:highlight w:val="none"/>
        </w:rPr>
      </w:pPr>
      <w:r>
        <w:rPr>
          <w:rFonts w:hint="eastAsia" w:ascii="宋体" w:hAnsi="宋体" w:eastAsia="宋体" w:cs="宋体"/>
          <w:b/>
          <w:bCs/>
          <w:highlight w:val="none"/>
          <w:lang w:val="en-US" w:eastAsia="zh-CN"/>
        </w:rPr>
        <w:t>十</w:t>
      </w:r>
      <w:r>
        <w:rPr>
          <w:rFonts w:hint="eastAsia" w:ascii="宋体" w:hAnsi="宋体" w:eastAsia="宋体" w:cs="宋体"/>
          <w:b/>
          <w:bCs/>
          <w:highlight w:val="none"/>
        </w:rPr>
        <w:t>、合同的解释</w:t>
      </w:r>
    </w:p>
    <w:p w14:paraId="13CD8AFF">
      <w:pPr>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rPr>
        <w:t>1、任何一方对本合同及其附件的解释均应遵循诚实信用原则,依照本合同签订时有效的中国法律、法规以及通常的理解进行。</w:t>
      </w:r>
    </w:p>
    <w:p w14:paraId="6F643788">
      <w:pPr>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rPr>
        <w:t>2、本合同标题仅供查阅方便，并非对本合同的诠释或解释；本合同中以日表述的时间期限均指日历日。</w:t>
      </w:r>
    </w:p>
    <w:p w14:paraId="04C25E17">
      <w:pPr>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rPr>
        <w:t>3、对本合同的任何解释均应以书面做出。</w:t>
      </w:r>
    </w:p>
    <w:p w14:paraId="1455E951">
      <w:pPr>
        <w:spacing w:line="360" w:lineRule="auto"/>
        <w:rPr>
          <w:rFonts w:hint="eastAsia" w:ascii="宋体" w:hAnsi="宋体" w:eastAsia="宋体" w:cs="宋体"/>
          <w:b/>
          <w:bCs/>
          <w:highlight w:val="none"/>
        </w:rPr>
      </w:pPr>
      <w:r>
        <w:rPr>
          <w:rFonts w:hint="eastAsia" w:ascii="宋体" w:hAnsi="宋体" w:eastAsia="宋体" w:cs="宋体"/>
          <w:b/>
          <w:bCs/>
          <w:highlight w:val="none"/>
        </w:rPr>
        <w:t>十</w:t>
      </w:r>
      <w:r>
        <w:rPr>
          <w:rFonts w:hint="eastAsia" w:ascii="宋体" w:hAnsi="宋体" w:eastAsia="宋体" w:cs="宋体"/>
          <w:b/>
          <w:bCs/>
          <w:highlight w:val="none"/>
          <w:lang w:val="en-US" w:eastAsia="zh-CN"/>
        </w:rPr>
        <w:t>一</w:t>
      </w:r>
      <w:r>
        <w:rPr>
          <w:rFonts w:hint="eastAsia" w:ascii="宋体" w:hAnsi="宋体" w:eastAsia="宋体" w:cs="宋体"/>
          <w:b/>
          <w:bCs/>
          <w:highlight w:val="none"/>
        </w:rPr>
        <w:t>、合同的终止</w:t>
      </w:r>
    </w:p>
    <w:p w14:paraId="1B9E2371">
      <w:pPr>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rPr>
        <w:t>1、本合同因下列原因而终止：</w:t>
      </w:r>
    </w:p>
    <w:p w14:paraId="6B49573F">
      <w:pPr>
        <w:spacing w:line="360" w:lineRule="auto"/>
        <w:ind w:left="480" w:leftChars="200" w:firstLine="480" w:firstLineChars="200"/>
        <w:rPr>
          <w:rFonts w:hint="eastAsia" w:ascii="宋体" w:hAnsi="宋体" w:eastAsia="宋体" w:cs="宋体"/>
          <w:highlight w:val="none"/>
        </w:rPr>
      </w:pPr>
      <w:r>
        <w:rPr>
          <w:rFonts w:hint="eastAsia" w:ascii="宋体" w:hAnsi="宋体" w:eastAsia="宋体" w:cs="宋体"/>
          <w:highlight w:val="none"/>
        </w:rPr>
        <w:t>1）本合同正常履行完毕；</w:t>
      </w:r>
    </w:p>
    <w:p w14:paraId="41C276DF">
      <w:pPr>
        <w:spacing w:line="360" w:lineRule="auto"/>
        <w:ind w:left="480" w:leftChars="200" w:firstLine="480" w:firstLineChars="200"/>
        <w:rPr>
          <w:rFonts w:hint="eastAsia" w:ascii="宋体" w:hAnsi="宋体" w:eastAsia="宋体" w:cs="宋体"/>
          <w:highlight w:val="none"/>
        </w:rPr>
      </w:pPr>
      <w:r>
        <w:rPr>
          <w:rFonts w:hint="eastAsia" w:ascii="宋体" w:hAnsi="宋体" w:eastAsia="宋体" w:cs="宋体"/>
          <w:highlight w:val="none"/>
        </w:rPr>
        <w:t>2）合同双方协议终止本合同的履行；</w:t>
      </w:r>
    </w:p>
    <w:p w14:paraId="611B112A">
      <w:pPr>
        <w:spacing w:line="360" w:lineRule="auto"/>
        <w:ind w:left="480" w:leftChars="200" w:firstLine="480" w:firstLineChars="200"/>
        <w:rPr>
          <w:rFonts w:hint="eastAsia" w:ascii="宋体" w:hAnsi="宋体" w:eastAsia="宋体" w:cs="宋体"/>
          <w:highlight w:val="none"/>
        </w:rPr>
      </w:pPr>
      <w:r>
        <w:rPr>
          <w:rFonts w:hint="eastAsia" w:ascii="宋体" w:hAnsi="宋体" w:eastAsia="宋体" w:cs="宋体"/>
          <w:highlight w:val="none"/>
        </w:rPr>
        <w:t>3）不可抗力事件导致本合同无法履行或履行不必要。</w:t>
      </w:r>
    </w:p>
    <w:p w14:paraId="4F49E3CA">
      <w:pPr>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rPr>
        <w:t>2、对本合同终止有过错的一方应赔偿另一方因合同终止而受到的损失。对合同终止双方均无过错的，则各自承担所受到的损失。</w:t>
      </w:r>
    </w:p>
    <w:p w14:paraId="417D540A">
      <w:pPr>
        <w:spacing w:line="360" w:lineRule="auto"/>
        <w:rPr>
          <w:rFonts w:hint="eastAsia" w:ascii="宋体" w:hAnsi="宋体" w:eastAsia="宋体" w:cs="宋体"/>
          <w:b/>
          <w:bCs/>
          <w:highlight w:val="none"/>
        </w:rPr>
      </w:pPr>
      <w:r>
        <w:rPr>
          <w:rFonts w:hint="eastAsia" w:ascii="宋体" w:hAnsi="宋体" w:eastAsia="宋体" w:cs="宋体"/>
          <w:b/>
          <w:bCs/>
          <w:highlight w:val="none"/>
        </w:rPr>
        <w:t>十</w:t>
      </w:r>
      <w:r>
        <w:rPr>
          <w:rFonts w:hint="eastAsia" w:ascii="宋体" w:hAnsi="宋体" w:eastAsia="宋体" w:cs="宋体"/>
          <w:b/>
          <w:bCs/>
          <w:highlight w:val="none"/>
          <w:lang w:val="en-US" w:eastAsia="zh-CN"/>
        </w:rPr>
        <w:t>二</w:t>
      </w:r>
      <w:r>
        <w:rPr>
          <w:rFonts w:hint="eastAsia" w:ascii="宋体" w:hAnsi="宋体" w:eastAsia="宋体" w:cs="宋体"/>
          <w:b/>
          <w:bCs/>
          <w:highlight w:val="none"/>
        </w:rPr>
        <w:t>、争议的解决</w:t>
      </w:r>
    </w:p>
    <w:p w14:paraId="238A987A">
      <w:pPr>
        <w:keepNext w:val="0"/>
        <w:keepLines w:val="0"/>
        <w:widowControl/>
        <w:suppressLineNumbers w:val="0"/>
        <w:spacing w:line="360" w:lineRule="auto"/>
        <w:ind w:firstLine="480" w:firstLineChars="200"/>
        <w:jc w:val="left"/>
        <w:rPr>
          <w:rFonts w:hint="eastAsia" w:ascii="宋体" w:hAnsi="宋体" w:eastAsia="宋体" w:cs="宋体"/>
          <w:highlight w:val="none"/>
          <w:lang w:eastAsia="zh-CN"/>
        </w:rPr>
      </w:pPr>
      <w:r>
        <w:rPr>
          <w:rFonts w:hint="eastAsia" w:ascii="宋体" w:hAnsi="宋体" w:eastAsia="宋体" w:cs="宋体"/>
          <w:highlight w:val="none"/>
        </w:rPr>
        <w:t>合同双方应通过友好协商解决因解释﹑执行本合同所发生的和本合同有关的一切争议。</w:t>
      </w:r>
      <w:r>
        <w:rPr>
          <w:rFonts w:hint="eastAsia" w:ascii="宋体" w:hAnsi="宋体" w:eastAsia="宋体" w:cs="宋体"/>
          <w:highlight w:val="none"/>
          <w:lang w:val="en-US" w:eastAsia="zh-CN"/>
        </w:rPr>
        <w:t>协商不成可以采用下列第 2 种方式解决</w:t>
      </w:r>
      <w:r>
        <w:rPr>
          <w:rFonts w:hint="eastAsia" w:ascii="宋体" w:hAnsi="宋体" w:eastAsia="宋体" w:cs="宋体"/>
          <w:highlight w:val="none"/>
          <w:lang w:eastAsia="zh-CN"/>
        </w:rPr>
        <w:t>：</w:t>
      </w:r>
    </w:p>
    <w:p w14:paraId="042EC350">
      <w:pPr>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lang w:val="en-US" w:eastAsia="zh-CN"/>
        </w:rPr>
        <w:t xml:space="preserve">1、提交甲方所在地仲裁委员会仲裁； </w:t>
      </w:r>
    </w:p>
    <w:p w14:paraId="25FB5712">
      <w:pPr>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lang w:val="en-US" w:eastAsia="zh-CN"/>
        </w:rPr>
        <w:t>2、向甲方所在地人民法院提起诉讼。</w:t>
      </w:r>
    </w:p>
    <w:p w14:paraId="0703F630">
      <w:pPr>
        <w:spacing w:line="360" w:lineRule="auto"/>
        <w:rPr>
          <w:rFonts w:hint="eastAsia" w:ascii="宋体" w:hAnsi="宋体" w:eastAsia="宋体" w:cs="宋体"/>
          <w:b/>
          <w:bCs/>
          <w:highlight w:val="none"/>
        </w:rPr>
      </w:pPr>
      <w:r>
        <w:rPr>
          <w:rFonts w:hint="eastAsia" w:ascii="宋体" w:hAnsi="宋体" w:eastAsia="宋体" w:cs="宋体"/>
          <w:b/>
          <w:bCs/>
          <w:highlight w:val="none"/>
        </w:rPr>
        <w:t>十</w:t>
      </w:r>
      <w:r>
        <w:rPr>
          <w:rFonts w:hint="eastAsia" w:ascii="宋体" w:hAnsi="宋体" w:eastAsia="宋体" w:cs="宋体"/>
          <w:b/>
          <w:bCs/>
          <w:highlight w:val="none"/>
          <w:lang w:val="en-US" w:eastAsia="zh-CN"/>
        </w:rPr>
        <w:t>三</w:t>
      </w:r>
      <w:r>
        <w:rPr>
          <w:rFonts w:hint="eastAsia" w:ascii="宋体" w:hAnsi="宋体" w:eastAsia="宋体" w:cs="宋体"/>
          <w:b/>
          <w:bCs/>
          <w:highlight w:val="none"/>
        </w:rPr>
        <w:t>、合同的生效</w:t>
      </w:r>
    </w:p>
    <w:p w14:paraId="79FA992A">
      <w:pPr>
        <w:ind w:firstLine="480" w:firstLineChars="200"/>
        <w:rPr>
          <w:rFonts w:hint="eastAsia"/>
          <w:highlight w:val="none"/>
        </w:rPr>
      </w:pPr>
      <w:r>
        <w:rPr>
          <w:rFonts w:hint="eastAsia" w:ascii="宋体" w:hAnsi="宋体" w:eastAsia="宋体" w:cs="宋体"/>
          <w:highlight w:val="none"/>
        </w:rPr>
        <w:t>本合同在甲乙双方签字盖章后生效</w:t>
      </w:r>
      <w:r>
        <w:rPr>
          <w:rFonts w:hint="eastAsia"/>
          <w:highlight w:val="none"/>
        </w:rPr>
        <w:t>。</w:t>
      </w:r>
    </w:p>
    <w:p w14:paraId="1DD2C9AF">
      <w:pPr>
        <w:rPr>
          <w:rFonts w:hint="eastAsia"/>
          <w:b/>
          <w:bCs/>
          <w:highlight w:val="none"/>
        </w:rPr>
      </w:pPr>
      <w:r>
        <w:rPr>
          <w:rFonts w:hint="eastAsia"/>
          <w:b/>
          <w:bCs/>
          <w:highlight w:val="none"/>
        </w:rPr>
        <w:t>十四、其他约定事项</w:t>
      </w:r>
    </w:p>
    <w:p w14:paraId="3A9007EE">
      <w:pPr>
        <w:pStyle w:val="38"/>
        <w:rPr>
          <w:rFonts w:hint="eastAsia"/>
          <w:highlight w:val="none"/>
        </w:rPr>
      </w:pPr>
      <w:r>
        <w:rPr>
          <w:rFonts w:hint="eastAsia"/>
          <w:highlight w:val="none"/>
        </w:rPr>
        <w:t>1.</w:t>
      </w:r>
      <w:r>
        <w:rPr>
          <w:highlight w:val="none"/>
        </w:rPr>
        <w:t>签订地点：</w:t>
      </w:r>
    </w:p>
    <w:p w14:paraId="428D08A2">
      <w:pPr>
        <w:pStyle w:val="38"/>
        <w:rPr>
          <w:rFonts w:hint="eastAsia"/>
          <w:highlight w:val="none"/>
        </w:rPr>
      </w:pPr>
      <w:r>
        <w:rPr>
          <w:rFonts w:hint="eastAsia"/>
          <w:highlight w:val="none"/>
        </w:rPr>
        <w:t>2.签订时间：    年    月    日</w:t>
      </w:r>
    </w:p>
    <w:p w14:paraId="3790FA28">
      <w:pPr>
        <w:ind w:firstLine="480" w:firstLineChars="200"/>
        <w:rPr>
          <w:rFonts w:hint="eastAsia"/>
          <w:highlight w:val="none"/>
        </w:rPr>
      </w:pPr>
      <w:r>
        <w:rPr>
          <w:rFonts w:hint="eastAsia"/>
          <w:highlight w:val="none"/>
        </w:rPr>
        <w:t>3.本合同中的附件均为本合同不可分割的部分，与本合同具有相同的法律效力。</w:t>
      </w:r>
    </w:p>
    <w:p w14:paraId="4FD99910">
      <w:pPr>
        <w:ind w:firstLine="480" w:firstLineChars="200"/>
        <w:rPr>
          <w:rFonts w:hint="eastAsia"/>
          <w:highlight w:val="none"/>
        </w:rPr>
      </w:pPr>
      <w:r>
        <w:rPr>
          <w:rFonts w:hint="eastAsia"/>
          <w:highlight w:val="none"/>
        </w:rPr>
        <w:t>4.本合同一式伍份，甲方贰份，乙方贰份，成交供应商送采购代理机构壹份。</w:t>
      </w:r>
    </w:p>
    <w:p w14:paraId="69D1CE0E">
      <w:pPr>
        <w:rPr>
          <w:rFonts w:hint="eastAsia"/>
          <w:highlight w:val="none"/>
        </w:rPr>
      </w:pPr>
    </w:p>
    <w:p w14:paraId="30DAE7B9">
      <w:pPr>
        <w:rPr>
          <w:rFonts w:hint="eastAsia"/>
          <w:highlight w:val="none"/>
        </w:rPr>
      </w:pPr>
    </w:p>
    <w:p w14:paraId="58F8689E">
      <w:pPr>
        <w:spacing w:line="480" w:lineRule="auto"/>
        <w:rPr>
          <w:rFonts w:hint="eastAsia"/>
          <w:highlight w:val="none"/>
        </w:rPr>
      </w:pPr>
      <w:r>
        <w:rPr>
          <w:rFonts w:hint="eastAsia"/>
          <w:highlight w:val="none"/>
        </w:rPr>
        <w:t>甲方（采购人）公章：</w:t>
      </w:r>
      <w:r>
        <w:rPr>
          <w:rFonts w:hint="eastAsia"/>
          <w:highlight w:val="none"/>
        </w:rPr>
        <w:tab/>
      </w:r>
      <w:r>
        <w:rPr>
          <w:rFonts w:hint="eastAsia"/>
          <w:highlight w:val="none"/>
        </w:rPr>
        <w:t xml:space="preserve">                     乙方（成交供应商）公章：</w:t>
      </w:r>
    </w:p>
    <w:p w14:paraId="4CD24905">
      <w:pPr>
        <w:spacing w:line="480" w:lineRule="auto"/>
        <w:rPr>
          <w:rFonts w:hint="eastAsia"/>
          <w:highlight w:val="none"/>
        </w:rPr>
      </w:pPr>
      <w:r>
        <w:rPr>
          <w:rFonts w:hint="eastAsia"/>
          <w:highlight w:val="none"/>
        </w:rPr>
        <w:t xml:space="preserve">法定代表人/负责人                         法定代表人/负责人 </w:t>
      </w:r>
    </w:p>
    <w:p w14:paraId="3A481391">
      <w:pPr>
        <w:spacing w:line="480" w:lineRule="auto"/>
        <w:rPr>
          <w:rFonts w:hint="eastAsia"/>
          <w:highlight w:val="none"/>
        </w:rPr>
      </w:pPr>
      <w:r>
        <w:rPr>
          <w:rFonts w:hint="eastAsia"/>
          <w:highlight w:val="none"/>
        </w:rPr>
        <w:t>或授权代表人（签字）：</w:t>
      </w:r>
      <w:r>
        <w:rPr>
          <w:rFonts w:hint="eastAsia"/>
          <w:highlight w:val="none"/>
        </w:rPr>
        <w:tab/>
      </w:r>
      <w:r>
        <w:rPr>
          <w:rFonts w:hint="eastAsia"/>
          <w:highlight w:val="none"/>
        </w:rPr>
        <w:t xml:space="preserve">                 或授权代表人（签字）：</w:t>
      </w:r>
    </w:p>
    <w:p w14:paraId="7A2377D7">
      <w:pPr>
        <w:spacing w:line="480" w:lineRule="auto"/>
        <w:rPr>
          <w:rFonts w:hint="eastAsia"/>
          <w:highlight w:val="none"/>
        </w:rPr>
      </w:pPr>
      <w:r>
        <w:rPr>
          <w:rFonts w:hint="eastAsia"/>
          <w:highlight w:val="none"/>
        </w:rPr>
        <w:t>电话：                                    电话：</w:t>
      </w:r>
    </w:p>
    <w:p w14:paraId="3DB96EF6">
      <w:pPr>
        <w:spacing w:line="480" w:lineRule="auto"/>
        <w:rPr>
          <w:rFonts w:hint="eastAsia"/>
          <w:highlight w:val="none"/>
        </w:rPr>
      </w:pPr>
      <w:r>
        <w:rPr>
          <w:rFonts w:hint="eastAsia"/>
          <w:highlight w:val="none"/>
        </w:rPr>
        <w:t>开户银行：                                开户银行：</w:t>
      </w:r>
    </w:p>
    <w:p w14:paraId="0DE2B6F3">
      <w:pPr>
        <w:rPr>
          <w:rFonts w:hint="eastAsia"/>
          <w:highlight w:val="none"/>
        </w:rPr>
      </w:pPr>
      <w:r>
        <w:rPr>
          <w:rFonts w:hint="eastAsia"/>
          <w:highlight w:val="none"/>
        </w:rPr>
        <w:t>账号：                                    账号：</w:t>
      </w:r>
    </w:p>
    <w:p w14:paraId="4D914B1D">
      <w:pPr>
        <w:spacing w:before="120" w:beforeLines="50" w:line="480" w:lineRule="exact"/>
        <w:ind w:left="434" w:leftChars="181" w:firstLine="482"/>
        <w:rPr>
          <w:rFonts w:hint="eastAsia"/>
          <w:highlight w:val="none"/>
        </w:rPr>
        <w:sectPr>
          <w:pgSz w:w="11906" w:h="16838"/>
          <w:pgMar w:top="1440" w:right="1440" w:bottom="1440" w:left="1440" w:header="851" w:footer="992" w:gutter="0"/>
          <w:pgNumType w:fmt="decimal"/>
          <w:cols w:space="720" w:num="1"/>
          <w:docGrid w:linePitch="312" w:charSpace="0"/>
        </w:sectPr>
      </w:pPr>
    </w:p>
    <w:bookmarkEnd w:id="1000"/>
    <w:bookmarkEnd w:id="1001"/>
    <w:p w14:paraId="59FB7246">
      <w:pPr>
        <w:spacing w:before="156" w:beforeLines="50" w:after="156" w:afterLines="50" w:line="240" w:lineRule="auto"/>
        <w:jc w:val="center"/>
        <w:outlineLvl w:val="0"/>
        <w:rPr>
          <w:rFonts w:hint="eastAsia"/>
          <w:b/>
          <w:sz w:val="32"/>
          <w:szCs w:val="32"/>
          <w:highlight w:val="none"/>
        </w:rPr>
      </w:pPr>
      <w:bookmarkStart w:id="1002" w:name="_Toc6198"/>
      <w:bookmarkStart w:id="1003" w:name="_Toc13655"/>
      <w:bookmarkStart w:id="1004" w:name="_Toc27221"/>
      <w:bookmarkStart w:id="1005" w:name="_Toc1722"/>
      <w:bookmarkStart w:id="1006" w:name="_Toc19708"/>
      <w:bookmarkStart w:id="1007" w:name="_Toc5464"/>
      <w:bookmarkStart w:id="1008" w:name="_Toc10000"/>
      <w:r>
        <w:rPr>
          <w:rFonts w:hint="eastAsia"/>
          <w:b/>
          <w:sz w:val="32"/>
          <w:szCs w:val="32"/>
          <w:highlight w:val="none"/>
        </w:rPr>
        <w:t>政府采购履约验收书(服务类)</w:t>
      </w:r>
      <w:bookmarkEnd w:id="1002"/>
      <w:bookmarkEnd w:id="1003"/>
      <w:bookmarkEnd w:id="1004"/>
      <w:bookmarkEnd w:id="1005"/>
      <w:bookmarkEnd w:id="1006"/>
      <w:bookmarkEnd w:id="1007"/>
      <w:bookmarkEnd w:id="1008"/>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6"/>
        <w:gridCol w:w="2206"/>
        <w:gridCol w:w="2019"/>
        <w:gridCol w:w="1036"/>
        <w:gridCol w:w="1271"/>
        <w:gridCol w:w="1585"/>
        <w:gridCol w:w="1156"/>
        <w:gridCol w:w="863"/>
        <w:gridCol w:w="2235"/>
      </w:tblGrid>
      <w:tr w14:paraId="684EF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806" w:type="dxa"/>
            <w:vAlign w:val="center"/>
          </w:tcPr>
          <w:p w14:paraId="1E5BBFFF">
            <w:pPr>
              <w:wordWrap w:val="0"/>
              <w:spacing w:line="280" w:lineRule="exact"/>
              <w:jc w:val="center"/>
              <w:rPr>
                <w:rFonts w:hint="eastAsia"/>
                <w:highlight w:val="none"/>
              </w:rPr>
            </w:pPr>
            <w:r>
              <w:rPr>
                <w:rFonts w:hint="eastAsia"/>
                <w:highlight w:val="none"/>
              </w:rPr>
              <w:t>采购单位</w:t>
            </w:r>
          </w:p>
        </w:tc>
        <w:tc>
          <w:tcPr>
            <w:tcW w:w="2206" w:type="dxa"/>
            <w:vAlign w:val="center"/>
          </w:tcPr>
          <w:p w14:paraId="40E167F0">
            <w:pPr>
              <w:wordWrap w:val="0"/>
              <w:spacing w:line="280" w:lineRule="exact"/>
              <w:jc w:val="center"/>
              <w:rPr>
                <w:rFonts w:hint="eastAsia"/>
                <w:highlight w:val="none"/>
              </w:rPr>
            </w:pPr>
          </w:p>
        </w:tc>
        <w:tc>
          <w:tcPr>
            <w:tcW w:w="2019" w:type="dxa"/>
            <w:vAlign w:val="center"/>
          </w:tcPr>
          <w:p w14:paraId="225D34E9">
            <w:pPr>
              <w:wordWrap w:val="0"/>
              <w:spacing w:line="280" w:lineRule="exact"/>
              <w:jc w:val="center"/>
              <w:rPr>
                <w:rFonts w:hint="eastAsia"/>
                <w:highlight w:val="none"/>
              </w:rPr>
            </w:pPr>
            <w:r>
              <w:rPr>
                <w:rFonts w:hint="eastAsia"/>
                <w:highlight w:val="none"/>
              </w:rPr>
              <w:t>项目名称</w:t>
            </w:r>
          </w:p>
        </w:tc>
        <w:tc>
          <w:tcPr>
            <w:tcW w:w="2307" w:type="dxa"/>
            <w:gridSpan w:val="2"/>
            <w:vAlign w:val="center"/>
          </w:tcPr>
          <w:p w14:paraId="6CC39680">
            <w:pPr>
              <w:wordWrap w:val="0"/>
              <w:spacing w:line="280" w:lineRule="exact"/>
              <w:jc w:val="center"/>
              <w:rPr>
                <w:rFonts w:hint="eastAsia"/>
                <w:highlight w:val="none"/>
              </w:rPr>
            </w:pPr>
          </w:p>
        </w:tc>
        <w:tc>
          <w:tcPr>
            <w:tcW w:w="2741" w:type="dxa"/>
            <w:gridSpan w:val="2"/>
            <w:vAlign w:val="center"/>
          </w:tcPr>
          <w:p w14:paraId="26718DC2">
            <w:pPr>
              <w:wordWrap w:val="0"/>
              <w:spacing w:line="280" w:lineRule="exact"/>
              <w:jc w:val="center"/>
              <w:rPr>
                <w:rFonts w:hint="eastAsia"/>
                <w:highlight w:val="none"/>
              </w:rPr>
            </w:pPr>
            <w:r>
              <w:rPr>
                <w:rFonts w:hint="eastAsia"/>
                <w:highlight w:val="none"/>
              </w:rPr>
              <w:t>合同名称</w:t>
            </w:r>
          </w:p>
        </w:tc>
        <w:tc>
          <w:tcPr>
            <w:tcW w:w="3098" w:type="dxa"/>
            <w:gridSpan w:val="2"/>
            <w:vAlign w:val="center"/>
          </w:tcPr>
          <w:p w14:paraId="6D581C9F">
            <w:pPr>
              <w:wordWrap w:val="0"/>
              <w:spacing w:line="280" w:lineRule="exact"/>
              <w:jc w:val="center"/>
              <w:rPr>
                <w:rFonts w:hint="eastAsia"/>
                <w:highlight w:val="none"/>
              </w:rPr>
            </w:pPr>
          </w:p>
        </w:tc>
      </w:tr>
      <w:tr w14:paraId="4633D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806" w:type="dxa"/>
            <w:vAlign w:val="center"/>
          </w:tcPr>
          <w:p w14:paraId="381DAB4E">
            <w:pPr>
              <w:wordWrap w:val="0"/>
              <w:spacing w:line="280" w:lineRule="exact"/>
              <w:jc w:val="center"/>
              <w:rPr>
                <w:rFonts w:hint="eastAsia"/>
                <w:highlight w:val="none"/>
              </w:rPr>
            </w:pPr>
            <w:r>
              <w:rPr>
                <w:rFonts w:hint="eastAsia"/>
                <w:highlight w:val="none"/>
              </w:rPr>
              <w:t>供应商</w:t>
            </w:r>
          </w:p>
        </w:tc>
        <w:tc>
          <w:tcPr>
            <w:tcW w:w="2206" w:type="dxa"/>
            <w:vAlign w:val="center"/>
          </w:tcPr>
          <w:p w14:paraId="6541A667">
            <w:pPr>
              <w:wordWrap w:val="0"/>
              <w:spacing w:line="280" w:lineRule="exact"/>
              <w:jc w:val="center"/>
              <w:rPr>
                <w:rFonts w:hint="eastAsia"/>
                <w:highlight w:val="none"/>
              </w:rPr>
            </w:pPr>
          </w:p>
        </w:tc>
        <w:tc>
          <w:tcPr>
            <w:tcW w:w="2019" w:type="dxa"/>
            <w:vAlign w:val="center"/>
          </w:tcPr>
          <w:p w14:paraId="229999CF">
            <w:pPr>
              <w:wordWrap w:val="0"/>
              <w:spacing w:line="280" w:lineRule="exact"/>
              <w:jc w:val="center"/>
              <w:rPr>
                <w:rFonts w:hint="eastAsia"/>
                <w:highlight w:val="none"/>
              </w:rPr>
            </w:pPr>
            <w:r>
              <w:rPr>
                <w:rFonts w:hint="eastAsia"/>
                <w:highlight w:val="none"/>
              </w:rPr>
              <w:t>项目及合同编号</w:t>
            </w:r>
          </w:p>
        </w:tc>
        <w:tc>
          <w:tcPr>
            <w:tcW w:w="2307" w:type="dxa"/>
            <w:gridSpan w:val="2"/>
            <w:vAlign w:val="center"/>
          </w:tcPr>
          <w:p w14:paraId="79AE4C40">
            <w:pPr>
              <w:wordWrap w:val="0"/>
              <w:spacing w:line="280" w:lineRule="exact"/>
              <w:jc w:val="center"/>
              <w:rPr>
                <w:rFonts w:hint="eastAsia"/>
                <w:highlight w:val="none"/>
              </w:rPr>
            </w:pPr>
          </w:p>
        </w:tc>
        <w:tc>
          <w:tcPr>
            <w:tcW w:w="2741" w:type="dxa"/>
            <w:gridSpan w:val="2"/>
            <w:vAlign w:val="center"/>
          </w:tcPr>
          <w:p w14:paraId="2EB019FA">
            <w:pPr>
              <w:wordWrap w:val="0"/>
              <w:spacing w:line="280" w:lineRule="exact"/>
              <w:jc w:val="center"/>
              <w:rPr>
                <w:rFonts w:hint="eastAsia"/>
                <w:highlight w:val="none"/>
              </w:rPr>
            </w:pPr>
            <w:r>
              <w:rPr>
                <w:rFonts w:hint="eastAsia"/>
                <w:highlight w:val="none"/>
              </w:rPr>
              <w:t>合同金额</w:t>
            </w:r>
          </w:p>
        </w:tc>
        <w:tc>
          <w:tcPr>
            <w:tcW w:w="3098" w:type="dxa"/>
            <w:gridSpan w:val="2"/>
            <w:vAlign w:val="center"/>
          </w:tcPr>
          <w:p w14:paraId="34E166DC">
            <w:pPr>
              <w:wordWrap w:val="0"/>
              <w:spacing w:line="280" w:lineRule="exact"/>
              <w:jc w:val="center"/>
              <w:rPr>
                <w:rFonts w:hint="eastAsia"/>
                <w:highlight w:val="none"/>
              </w:rPr>
            </w:pPr>
          </w:p>
        </w:tc>
      </w:tr>
      <w:tr w14:paraId="26884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806" w:type="dxa"/>
            <w:vAlign w:val="center"/>
          </w:tcPr>
          <w:p w14:paraId="4D58C1D1">
            <w:pPr>
              <w:wordWrap w:val="0"/>
              <w:spacing w:line="280" w:lineRule="exact"/>
              <w:jc w:val="center"/>
              <w:rPr>
                <w:rFonts w:hint="eastAsia"/>
                <w:highlight w:val="none"/>
              </w:rPr>
            </w:pPr>
            <w:r>
              <w:rPr>
                <w:rFonts w:hint="eastAsia"/>
                <w:highlight w:val="none"/>
              </w:rPr>
              <w:t>分期验收</w:t>
            </w:r>
          </w:p>
        </w:tc>
        <w:tc>
          <w:tcPr>
            <w:tcW w:w="2206" w:type="dxa"/>
            <w:vAlign w:val="center"/>
          </w:tcPr>
          <w:p w14:paraId="61104325">
            <w:pPr>
              <w:wordWrap w:val="0"/>
              <w:spacing w:line="280" w:lineRule="exact"/>
              <w:jc w:val="center"/>
              <w:rPr>
                <w:rFonts w:hint="eastAsia"/>
                <w:highlight w:val="none"/>
              </w:rPr>
            </w:pPr>
            <w:r>
              <w:rPr>
                <w:rFonts w:hint="eastAsia"/>
                <w:highlight w:val="none"/>
              </w:rPr>
              <w:t>是□   否□</w:t>
            </w:r>
          </w:p>
        </w:tc>
        <w:tc>
          <w:tcPr>
            <w:tcW w:w="2019" w:type="dxa"/>
            <w:vAlign w:val="center"/>
          </w:tcPr>
          <w:p w14:paraId="47ECC293">
            <w:pPr>
              <w:wordWrap w:val="0"/>
              <w:spacing w:line="280" w:lineRule="exact"/>
              <w:jc w:val="center"/>
              <w:rPr>
                <w:rFonts w:hint="eastAsia"/>
                <w:highlight w:val="none"/>
              </w:rPr>
            </w:pPr>
            <w:r>
              <w:rPr>
                <w:rFonts w:hint="eastAsia"/>
                <w:highlight w:val="none"/>
              </w:rPr>
              <w:t>分期情况</w:t>
            </w:r>
          </w:p>
        </w:tc>
        <w:tc>
          <w:tcPr>
            <w:tcW w:w="8146" w:type="dxa"/>
            <w:gridSpan w:val="6"/>
            <w:vAlign w:val="center"/>
          </w:tcPr>
          <w:p w14:paraId="60F15CF7">
            <w:pPr>
              <w:wordWrap w:val="0"/>
              <w:spacing w:line="280" w:lineRule="exact"/>
              <w:jc w:val="center"/>
              <w:rPr>
                <w:rFonts w:hint="eastAsia"/>
                <w:highlight w:val="none"/>
              </w:rPr>
            </w:pPr>
            <w:r>
              <w:rPr>
                <w:rFonts w:hint="eastAsia"/>
                <w:highlight w:val="none"/>
              </w:rPr>
              <w:t>共分   期，此为第   期验收</w:t>
            </w:r>
          </w:p>
        </w:tc>
      </w:tr>
      <w:tr w14:paraId="330E1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806" w:type="dxa"/>
            <w:vAlign w:val="center"/>
          </w:tcPr>
          <w:p w14:paraId="55477A0A">
            <w:pPr>
              <w:wordWrap w:val="0"/>
              <w:spacing w:line="280" w:lineRule="exact"/>
              <w:jc w:val="center"/>
              <w:rPr>
                <w:rFonts w:hint="eastAsia"/>
                <w:highlight w:val="none"/>
              </w:rPr>
            </w:pPr>
            <w:r>
              <w:rPr>
                <w:rFonts w:hint="eastAsia"/>
                <w:highlight w:val="none"/>
              </w:rPr>
              <w:t>验收时间</w:t>
            </w:r>
          </w:p>
        </w:tc>
        <w:tc>
          <w:tcPr>
            <w:tcW w:w="2206" w:type="dxa"/>
            <w:vAlign w:val="center"/>
          </w:tcPr>
          <w:p w14:paraId="3221A87A">
            <w:pPr>
              <w:wordWrap w:val="0"/>
              <w:spacing w:line="280" w:lineRule="exact"/>
              <w:jc w:val="center"/>
              <w:rPr>
                <w:rFonts w:hint="eastAsia"/>
                <w:highlight w:val="none"/>
              </w:rPr>
            </w:pPr>
          </w:p>
        </w:tc>
        <w:tc>
          <w:tcPr>
            <w:tcW w:w="2019" w:type="dxa"/>
            <w:vAlign w:val="center"/>
          </w:tcPr>
          <w:p w14:paraId="504917CD">
            <w:pPr>
              <w:wordWrap w:val="0"/>
              <w:spacing w:line="280" w:lineRule="exact"/>
              <w:jc w:val="center"/>
              <w:rPr>
                <w:rFonts w:hint="eastAsia"/>
                <w:highlight w:val="none"/>
              </w:rPr>
            </w:pPr>
            <w:r>
              <w:rPr>
                <w:rFonts w:hint="eastAsia"/>
                <w:highlight w:val="none"/>
              </w:rPr>
              <w:t>验收地点</w:t>
            </w:r>
          </w:p>
        </w:tc>
        <w:tc>
          <w:tcPr>
            <w:tcW w:w="2307" w:type="dxa"/>
            <w:gridSpan w:val="2"/>
            <w:vAlign w:val="center"/>
          </w:tcPr>
          <w:p w14:paraId="1F22F841">
            <w:pPr>
              <w:wordWrap w:val="0"/>
              <w:spacing w:line="280" w:lineRule="exact"/>
              <w:jc w:val="center"/>
              <w:rPr>
                <w:rFonts w:hint="eastAsia"/>
                <w:highlight w:val="none"/>
              </w:rPr>
            </w:pPr>
          </w:p>
        </w:tc>
        <w:tc>
          <w:tcPr>
            <w:tcW w:w="2741" w:type="dxa"/>
            <w:gridSpan w:val="2"/>
            <w:vAlign w:val="center"/>
          </w:tcPr>
          <w:p w14:paraId="1B9A94DB">
            <w:pPr>
              <w:wordWrap w:val="0"/>
              <w:spacing w:line="280" w:lineRule="exact"/>
              <w:jc w:val="center"/>
              <w:rPr>
                <w:rFonts w:hint="eastAsia"/>
                <w:highlight w:val="none"/>
              </w:rPr>
            </w:pPr>
            <w:r>
              <w:rPr>
                <w:rFonts w:hint="eastAsia"/>
                <w:highlight w:val="none"/>
              </w:rPr>
              <w:t>验收组织形式</w:t>
            </w:r>
          </w:p>
        </w:tc>
        <w:tc>
          <w:tcPr>
            <w:tcW w:w="3098" w:type="dxa"/>
            <w:gridSpan w:val="2"/>
            <w:vAlign w:val="center"/>
          </w:tcPr>
          <w:p w14:paraId="144D54BA">
            <w:pPr>
              <w:wordWrap w:val="0"/>
              <w:spacing w:line="280" w:lineRule="exact"/>
              <w:jc w:val="center"/>
              <w:rPr>
                <w:rFonts w:hint="eastAsia"/>
                <w:highlight w:val="none"/>
              </w:rPr>
            </w:pPr>
            <w:r>
              <w:rPr>
                <w:rFonts w:hint="eastAsia"/>
                <w:highlight w:val="none"/>
              </w:rPr>
              <w:t>□自行简易验收</w:t>
            </w:r>
          </w:p>
          <w:p w14:paraId="75B81BC3">
            <w:pPr>
              <w:wordWrap w:val="0"/>
              <w:spacing w:line="280" w:lineRule="exact"/>
              <w:jc w:val="center"/>
              <w:rPr>
                <w:rFonts w:hint="eastAsia"/>
                <w:highlight w:val="none"/>
              </w:rPr>
            </w:pPr>
            <w:r>
              <w:rPr>
                <w:rFonts w:hint="eastAsia"/>
                <w:highlight w:val="none"/>
              </w:rPr>
              <w:t>□验收小组验收</w:t>
            </w:r>
          </w:p>
        </w:tc>
      </w:tr>
      <w:tr w14:paraId="7815D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806" w:type="dxa"/>
            <w:vMerge w:val="restart"/>
            <w:vAlign w:val="center"/>
          </w:tcPr>
          <w:p w14:paraId="3DAA907C">
            <w:pPr>
              <w:wordWrap w:val="0"/>
              <w:spacing w:line="280" w:lineRule="exact"/>
              <w:jc w:val="center"/>
              <w:rPr>
                <w:rFonts w:hint="eastAsia"/>
                <w:highlight w:val="none"/>
              </w:rPr>
            </w:pPr>
            <w:r>
              <w:rPr>
                <w:rFonts w:hint="eastAsia"/>
                <w:highlight w:val="none"/>
              </w:rPr>
              <w:t>验收内容</w:t>
            </w:r>
          </w:p>
        </w:tc>
        <w:tc>
          <w:tcPr>
            <w:tcW w:w="2206" w:type="dxa"/>
            <w:vAlign w:val="center"/>
          </w:tcPr>
          <w:p w14:paraId="5375AB7B">
            <w:pPr>
              <w:wordWrap w:val="0"/>
              <w:spacing w:line="280" w:lineRule="exact"/>
              <w:jc w:val="center"/>
              <w:rPr>
                <w:rFonts w:hint="eastAsia"/>
                <w:highlight w:val="none"/>
              </w:rPr>
            </w:pPr>
            <w:r>
              <w:rPr>
                <w:rFonts w:hint="eastAsia"/>
                <w:highlight w:val="none"/>
              </w:rPr>
              <w:t>服务质量</w:t>
            </w:r>
          </w:p>
        </w:tc>
        <w:tc>
          <w:tcPr>
            <w:tcW w:w="2019" w:type="dxa"/>
            <w:vAlign w:val="center"/>
          </w:tcPr>
          <w:p w14:paraId="64405DA1">
            <w:pPr>
              <w:wordWrap w:val="0"/>
              <w:spacing w:line="280" w:lineRule="exact"/>
              <w:jc w:val="center"/>
              <w:rPr>
                <w:rFonts w:hint="eastAsia"/>
                <w:highlight w:val="none"/>
              </w:rPr>
            </w:pPr>
            <w:r>
              <w:rPr>
                <w:rFonts w:hint="eastAsia"/>
                <w:highlight w:val="none"/>
              </w:rPr>
              <w:t>服务进度</w:t>
            </w:r>
          </w:p>
        </w:tc>
        <w:tc>
          <w:tcPr>
            <w:tcW w:w="2307" w:type="dxa"/>
            <w:gridSpan w:val="2"/>
            <w:vAlign w:val="center"/>
          </w:tcPr>
          <w:p w14:paraId="1454E26D">
            <w:pPr>
              <w:wordWrap w:val="0"/>
              <w:spacing w:line="280" w:lineRule="exact"/>
              <w:jc w:val="center"/>
              <w:rPr>
                <w:rFonts w:hint="eastAsia"/>
                <w:highlight w:val="none"/>
              </w:rPr>
            </w:pPr>
            <w:r>
              <w:rPr>
                <w:rFonts w:hint="eastAsia"/>
                <w:highlight w:val="none"/>
              </w:rPr>
              <w:t>人员、设备</w:t>
            </w:r>
          </w:p>
          <w:p w14:paraId="177F2985">
            <w:pPr>
              <w:wordWrap w:val="0"/>
              <w:spacing w:line="280" w:lineRule="exact"/>
              <w:jc w:val="center"/>
              <w:rPr>
                <w:rFonts w:hint="eastAsia"/>
                <w:highlight w:val="none"/>
              </w:rPr>
            </w:pPr>
            <w:r>
              <w:rPr>
                <w:rFonts w:hint="eastAsia"/>
                <w:highlight w:val="none"/>
              </w:rPr>
              <w:t>配备情况</w:t>
            </w:r>
          </w:p>
        </w:tc>
        <w:tc>
          <w:tcPr>
            <w:tcW w:w="1585" w:type="dxa"/>
            <w:vAlign w:val="center"/>
          </w:tcPr>
          <w:p w14:paraId="04689675">
            <w:pPr>
              <w:wordWrap w:val="0"/>
              <w:spacing w:line="280" w:lineRule="exact"/>
              <w:jc w:val="center"/>
              <w:rPr>
                <w:rFonts w:hint="eastAsia"/>
                <w:highlight w:val="none"/>
              </w:rPr>
            </w:pPr>
            <w:r>
              <w:rPr>
                <w:rFonts w:hint="eastAsia"/>
                <w:highlight w:val="none"/>
              </w:rPr>
              <w:t>安全标准</w:t>
            </w:r>
          </w:p>
        </w:tc>
        <w:tc>
          <w:tcPr>
            <w:tcW w:w="2019" w:type="dxa"/>
            <w:gridSpan w:val="2"/>
            <w:vAlign w:val="center"/>
          </w:tcPr>
          <w:p w14:paraId="3B60B064">
            <w:pPr>
              <w:wordWrap w:val="0"/>
              <w:spacing w:line="280" w:lineRule="exact"/>
              <w:jc w:val="center"/>
              <w:rPr>
                <w:rFonts w:hint="eastAsia"/>
                <w:highlight w:val="none"/>
              </w:rPr>
            </w:pPr>
            <w:r>
              <w:rPr>
                <w:rFonts w:hint="eastAsia"/>
                <w:highlight w:val="none"/>
              </w:rPr>
              <w:t>服务承诺实现</w:t>
            </w:r>
          </w:p>
        </w:tc>
        <w:tc>
          <w:tcPr>
            <w:tcW w:w="2235" w:type="dxa"/>
            <w:vAlign w:val="center"/>
          </w:tcPr>
          <w:p w14:paraId="075BB46A">
            <w:pPr>
              <w:wordWrap w:val="0"/>
              <w:spacing w:line="280" w:lineRule="exact"/>
              <w:jc w:val="center"/>
              <w:rPr>
                <w:rFonts w:hint="eastAsia"/>
                <w:highlight w:val="none"/>
              </w:rPr>
            </w:pPr>
            <w:r>
              <w:rPr>
                <w:rFonts w:hint="eastAsia"/>
                <w:highlight w:val="none"/>
              </w:rPr>
              <w:t>合同履约时间、</w:t>
            </w:r>
          </w:p>
          <w:p w14:paraId="6424EFF1">
            <w:pPr>
              <w:wordWrap w:val="0"/>
              <w:spacing w:line="280" w:lineRule="exact"/>
              <w:jc w:val="center"/>
              <w:rPr>
                <w:rFonts w:hint="eastAsia"/>
                <w:highlight w:val="none"/>
              </w:rPr>
            </w:pPr>
            <w:r>
              <w:rPr>
                <w:rFonts w:hint="eastAsia"/>
                <w:highlight w:val="none"/>
              </w:rPr>
              <w:t>地点、方式</w:t>
            </w:r>
          </w:p>
        </w:tc>
      </w:tr>
      <w:tr w14:paraId="4B7EA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806" w:type="dxa"/>
            <w:vMerge w:val="continue"/>
            <w:vAlign w:val="center"/>
          </w:tcPr>
          <w:p w14:paraId="79947262">
            <w:pPr>
              <w:wordWrap w:val="0"/>
              <w:spacing w:line="280" w:lineRule="exact"/>
              <w:jc w:val="center"/>
              <w:rPr>
                <w:rFonts w:hint="eastAsia"/>
                <w:highlight w:val="none"/>
              </w:rPr>
            </w:pPr>
          </w:p>
        </w:tc>
        <w:tc>
          <w:tcPr>
            <w:tcW w:w="2206" w:type="dxa"/>
            <w:vAlign w:val="center"/>
          </w:tcPr>
          <w:p w14:paraId="4EF5026D">
            <w:pPr>
              <w:wordWrap w:val="0"/>
              <w:spacing w:line="280" w:lineRule="exact"/>
              <w:jc w:val="center"/>
              <w:rPr>
                <w:rFonts w:hint="eastAsia"/>
                <w:highlight w:val="none"/>
              </w:rPr>
            </w:pPr>
            <w:r>
              <w:rPr>
                <w:rFonts w:hint="eastAsia"/>
                <w:highlight w:val="none"/>
              </w:rPr>
              <w:t>合  格□</w:t>
            </w:r>
          </w:p>
          <w:p w14:paraId="286AEDEF">
            <w:pPr>
              <w:wordWrap w:val="0"/>
              <w:spacing w:line="280" w:lineRule="exact"/>
              <w:jc w:val="center"/>
              <w:rPr>
                <w:rFonts w:hint="eastAsia"/>
                <w:highlight w:val="none"/>
              </w:rPr>
            </w:pPr>
            <w:r>
              <w:rPr>
                <w:rFonts w:hint="eastAsia"/>
                <w:highlight w:val="none"/>
              </w:rPr>
              <w:t>不合格□</w:t>
            </w:r>
          </w:p>
        </w:tc>
        <w:tc>
          <w:tcPr>
            <w:tcW w:w="2019" w:type="dxa"/>
            <w:vAlign w:val="center"/>
          </w:tcPr>
          <w:p w14:paraId="2936B79A">
            <w:pPr>
              <w:wordWrap w:val="0"/>
              <w:spacing w:line="280" w:lineRule="exact"/>
              <w:jc w:val="center"/>
              <w:rPr>
                <w:rFonts w:hint="eastAsia"/>
                <w:highlight w:val="none"/>
              </w:rPr>
            </w:pPr>
            <w:r>
              <w:rPr>
                <w:rFonts w:hint="eastAsia"/>
                <w:highlight w:val="none"/>
              </w:rPr>
              <w:t>按  时□</w:t>
            </w:r>
          </w:p>
          <w:p w14:paraId="332E5741">
            <w:pPr>
              <w:wordWrap w:val="0"/>
              <w:spacing w:line="280" w:lineRule="exact"/>
              <w:jc w:val="center"/>
              <w:rPr>
                <w:rFonts w:hint="eastAsia"/>
                <w:highlight w:val="none"/>
              </w:rPr>
            </w:pPr>
            <w:r>
              <w:rPr>
                <w:rFonts w:hint="eastAsia"/>
                <w:highlight w:val="none"/>
              </w:rPr>
              <w:t>不按时□</w:t>
            </w:r>
          </w:p>
        </w:tc>
        <w:tc>
          <w:tcPr>
            <w:tcW w:w="2307" w:type="dxa"/>
            <w:gridSpan w:val="2"/>
            <w:vAlign w:val="center"/>
          </w:tcPr>
          <w:p w14:paraId="13D616F5">
            <w:pPr>
              <w:wordWrap w:val="0"/>
              <w:spacing w:line="280" w:lineRule="exact"/>
              <w:jc w:val="center"/>
              <w:rPr>
                <w:rFonts w:hint="eastAsia"/>
                <w:highlight w:val="none"/>
              </w:rPr>
            </w:pPr>
            <w:r>
              <w:rPr>
                <w:rFonts w:hint="eastAsia"/>
                <w:highlight w:val="none"/>
              </w:rPr>
              <w:t>合  格□</w:t>
            </w:r>
          </w:p>
          <w:p w14:paraId="173B6D47">
            <w:pPr>
              <w:wordWrap w:val="0"/>
              <w:spacing w:line="280" w:lineRule="exact"/>
              <w:jc w:val="center"/>
              <w:rPr>
                <w:rFonts w:hint="eastAsia"/>
                <w:highlight w:val="none"/>
              </w:rPr>
            </w:pPr>
            <w:r>
              <w:rPr>
                <w:rFonts w:hint="eastAsia"/>
                <w:highlight w:val="none"/>
              </w:rPr>
              <w:t xml:space="preserve"> 不合格□</w:t>
            </w:r>
          </w:p>
        </w:tc>
        <w:tc>
          <w:tcPr>
            <w:tcW w:w="1585" w:type="dxa"/>
            <w:vAlign w:val="center"/>
          </w:tcPr>
          <w:p w14:paraId="5DDC0014">
            <w:pPr>
              <w:wordWrap w:val="0"/>
              <w:spacing w:line="280" w:lineRule="exact"/>
              <w:jc w:val="center"/>
              <w:rPr>
                <w:rFonts w:hint="eastAsia"/>
                <w:highlight w:val="none"/>
              </w:rPr>
            </w:pPr>
            <w:r>
              <w:rPr>
                <w:rFonts w:hint="eastAsia"/>
                <w:highlight w:val="none"/>
              </w:rPr>
              <w:t>合  格□</w:t>
            </w:r>
          </w:p>
          <w:p w14:paraId="5BFBDD73">
            <w:pPr>
              <w:wordWrap w:val="0"/>
              <w:spacing w:line="280" w:lineRule="exact"/>
              <w:jc w:val="center"/>
              <w:rPr>
                <w:rFonts w:hint="eastAsia"/>
                <w:highlight w:val="none"/>
              </w:rPr>
            </w:pPr>
            <w:r>
              <w:rPr>
                <w:rFonts w:hint="eastAsia"/>
                <w:highlight w:val="none"/>
              </w:rPr>
              <w:t>不合格□</w:t>
            </w:r>
          </w:p>
        </w:tc>
        <w:tc>
          <w:tcPr>
            <w:tcW w:w="2019" w:type="dxa"/>
            <w:gridSpan w:val="2"/>
            <w:vAlign w:val="center"/>
          </w:tcPr>
          <w:p w14:paraId="686B6AFA">
            <w:pPr>
              <w:wordWrap w:val="0"/>
              <w:spacing w:line="280" w:lineRule="exact"/>
              <w:jc w:val="center"/>
              <w:rPr>
                <w:rFonts w:hint="eastAsia"/>
                <w:highlight w:val="none"/>
              </w:rPr>
            </w:pPr>
            <w:r>
              <w:rPr>
                <w:rFonts w:hint="eastAsia"/>
                <w:highlight w:val="none"/>
              </w:rPr>
              <w:t>合  格□</w:t>
            </w:r>
          </w:p>
          <w:p w14:paraId="7BF3EFBA">
            <w:pPr>
              <w:wordWrap w:val="0"/>
              <w:spacing w:line="280" w:lineRule="exact"/>
              <w:jc w:val="center"/>
              <w:rPr>
                <w:rFonts w:hint="eastAsia"/>
                <w:highlight w:val="none"/>
              </w:rPr>
            </w:pPr>
            <w:r>
              <w:rPr>
                <w:rFonts w:hint="eastAsia"/>
                <w:highlight w:val="none"/>
              </w:rPr>
              <w:t>不合格□</w:t>
            </w:r>
          </w:p>
        </w:tc>
        <w:tc>
          <w:tcPr>
            <w:tcW w:w="2235" w:type="dxa"/>
            <w:vAlign w:val="center"/>
          </w:tcPr>
          <w:p w14:paraId="5840BCE3">
            <w:pPr>
              <w:wordWrap w:val="0"/>
              <w:spacing w:line="280" w:lineRule="exact"/>
              <w:jc w:val="center"/>
              <w:rPr>
                <w:rFonts w:hint="eastAsia"/>
                <w:highlight w:val="none"/>
              </w:rPr>
            </w:pPr>
            <w:r>
              <w:rPr>
                <w:rFonts w:hint="eastAsia"/>
                <w:highlight w:val="none"/>
              </w:rPr>
              <w:t>合  格□</w:t>
            </w:r>
          </w:p>
          <w:p w14:paraId="469B364B">
            <w:pPr>
              <w:wordWrap w:val="0"/>
              <w:spacing w:line="280" w:lineRule="exact"/>
              <w:jc w:val="center"/>
              <w:rPr>
                <w:rFonts w:hint="eastAsia"/>
                <w:highlight w:val="none"/>
              </w:rPr>
            </w:pPr>
            <w:r>
              <w:rPr>
                <w:rFonts w:hint="eastAsia"/>
                <w:highlight w:val="none"/>
              </w:rPr>
              <w:t xml:space="preserve"> 不合格□</w:t>
            </w:r>
          </w:p>
        </w:tc>
      </w:tr>
      <w:tr w14:paraId="7D013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806" w:type="dxa"/>
            <w:vAlign w:val="center"/>
          </w:tcPr>
          <w:p w14:paraId="5618889F">
            <w:pPr>
              <w:wordWrap w:val="0"/>
              <w:spacing w:line="280" w:lineRule="exact"/>
              <w:jc w:val="center"/>
              <w:rPr>
                <w:rFonts w:hint="eastAsia"/>
                <w:highlight w:val="none"/>
              </w:rPr>
            </w:pPr>
            <w:r>
              <w:rPr>
                <w:rFonts w:hint="eastAsia"/>
                <w:highlight w:val="none"/>
              </w:rPr>
              <w:t>专业检测机构</w:t>
            </w:r>
          </w:p>
          <w:p w14:paraId="063E1F92">
            <w:pPr>
              <w:wordWrap w:val="0"/>
              <w:spacing w:line="280" w:lineRule="exact"/>
              <w:jc w:val="center"/>
              <w:rPr>
                <w:rFonts w:hint="eastAsia"/>
                <w:highlight w:val="none"/>
              </w:rPr>
            </w:pPr>
            <w:r>
              <w:rPr>
                <w:rFonts w:hint="eastAsia"/>
                <w:highlight w:val="none"/>
              </w:rPr>
              <w:t>情况说明</w:t>
            </w:r>
          </w:p>
        </w:tc>
        <w:tc>
          <w:tcPr>
            <w:tcW w:w="12371" w:type="dxa"/>
            <w:gridSpan w:val="8"/>
            <w:vAlign w:val="center"/>
          </w:tcPr>
          <w:p w14:paraId="184DD56B">
            <w:pPr>
              <w:wordWrap w:val="0"/>
              <w:spacing w:line="280" w:lineRule="exact"/>
              <w:jc w:val="center"/>
              <w:rPr>
                <w:rFonts w:hint="eastAsia"/>
                <w:highlight w:val="none"/>
              </w:rPr>
            </w:pPr>
          </w:p>
        </w:tc>
      </w:tr>
      <w:tr w14:paraId="0A808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806" w:type="dxa"/>
            <w:vAlign w:val="center"/>
          </w:tcPr>
          <w:p w14:paraId="32D7A294">
            <w:pPr>
              <w:wordWrap w:val="0"/>
              <w:spacing w:line="280" w:lineRule="exact"/>
              <w:jc w:val="center"/>
              <w:rPr>
                <w:rFonts w:hint="eastAsia"/>
                <w:highlight w:val="none"/>
              </w:rPr>
            </w:pPr>
            <w:r>
              <w:rPr>
                <w:rFonts w:hint="eastAsia"/>
                <w:highlight w:val="none"/>
              </w:rPr>
              <w:t>存在问题</w:t>
            </w:r>
          </w:p>
          <w:p w14:paraId="1584CB94">
            <w:pPr>
              <w:wordWrap w:val="0"/>
              <w:spacing w:line="280" w:lineRule="exact"/>
              <w:jc w:val="center"/>
              <w:rPr>
                <w:rFonts w:hint="eastAsia"/>
                <w:highlight w:val="none"/>
              </w:rPr>
            </w:pPr>
            <w:r>
              <w:rPr>
                <w:rFonts w:hint="eastAsia"/>
                <w:highlight w:val="none"/>
              </w:rPr>
              <w:t>和改进意见</w:t>
            </w:r>
          </w:p>
        </w:tc>
        <w:tc>
          <w:tcPr>
            <w:tcW w:w="12371" w:type="dxa"/>
            <w:gridSpan w:val="8"/>
            <w:vAlign w:val="center"/>
          </w:tcPr>
          <w:p w14:paraId="2282AF01">
            <w:pPr>
              <w:wordWrap w:val="0"/>
              <w:spacing w:line="280" w:lineRule="exact"/>
              <w:jc w:val="center"/>
              <w:rPr>
                <w:rFonts w:hint="eastAsia"/>
                <w:highlight w:val="none"/>
              </w:rPr>
            </w:pPr>
          </w:p>
        </w:tc>
      </w:tr>
      <w:tr w14:paraId="6BF7C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806" w:type="dxa"/>
            <w:vAlign w:val="center"/>
          </w:tcPr>
          <w:p w14:paraId="7F23A003">
            <w:pPr>
              <w:wordWrap w:val="0"/>
              <w:spacing w:line="280" w:lineRule="exact"/>
              <w:jc w:val="center"/>
              <w:rPr>
                <w:rFonts w:hint="eastAsia"/>
                <w:highlight w:val="none"/>
              </w:rPr>
            </w:pPr>
            <w:r>
              <w:rPr>
                <w:rFonts w:hint="eastAsia"/>
                <w:highlight w:val="none"/>
              </w:rPr>
              <w:t>最终结论</w:t>
            </w:r>
          </w:p>
        </w:tc>
        <w:tc>
          <w:tcPr>
            <w:tcW w:w="12371" w:type="dxa"/>
            <w:gridSpan w:val="8"/>
            <w:vAlign w:val="center"/>
          </w:tcPr>
          <w:p w14:paraId="14BE84C2">
            <w:pPr>
              <w:wordWrap w:val="0"/>
              <w:spacing w:line="280" w:lineRule="exact"/>
              <w:jc w:val="center"/>
              <w:rPr>
                <w:rFonts w:hint="eastAsia"/>
                <w:highlight w:val="none"/>
              </w:rPr>
            </w:pPr>
            <w:r>
              <w:rPr>
                <w:rFonts w:hint="eastAsia"/>
                <w:highlight w:val="none"/>
              </w:rPr>
              <w:t>合  格□                              不合格□</w:t>
            </w:r>
          </w:p>
        </w:tc>
      </w:tr>
      <w:tr w14:paraId="57118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806" w:type="dxa"/>
            <w:vAlign w:val="center"/>
          </w:tcPr>
          <w:p w14:paraId="1CD032D8">
            <w:pPr>
              <w:wordWrap w:val="0"/>
              <w:spacing w:line="280" w:lineRule="exact"/>
              <w:jc w:val="center"/>
              <w:rPr>
                <w:rFonts w:hint="eastAsia"/>
                <w:highlight w:val="none"/>
              </w:rPr>
            </w:pPr>
            <w:r>
              <w:rPr>
                <w:rFonts w:hint="eastAsia"/>
                <w:highlight w:val="none"/>
              </w:rPr>
              <w:t>验收小组</w:t>
            </w:r>
          </w:p>
          <w:p w14:paraId="7A3B569E">
            <w:pPr>
              <w:wordWrap w:val="0"/>
              <w:spacing w:line="280" w:lineRule="exact"/>
              <w:jc w:val="center"/>
              <w:rPr>
                <w:rFonts w:hint="eastAsia"/>
                <w:highlight w:val="none"/>
              </w:rPr>
            </w:pPr>
            <w:r>
              <w:rPr>
                <w:rFonts w:hint="eastAsia"/>
                <w:highlight w:val="none"/>
              </w:rPr>
              <w:t>成员签字</w:t>
            </w:r>
          </w:p>
        </w:tc>
        <w:tc>
          <w:tcPr>
            <w:tcW w:w="12371" w:type="dxa"/>
            <w:gridSpan w:val="8"/>
            <w:vAlign w:val="center"/>
          </w:tcPr>
          <w:p w14:paraId="5176D68C">
            <w:pPr>
              <w:wordWrap w:val="0"/>
              <w:spacing w:line="280" w:lineRule="exact"/>
              <w:jc w:val="center"/>
              <w:rPr>
                <w:rFonts w:hint="eastAsia"/>
                <w:highlight w:val="none"/>
              </w:rPr>
            </w:pPr>
          </w:p>
        </w:tc>
      </w:tr>
      <w:tr w14:paraId="6B81D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7067" w:type="dxa"/>
            <w:gridSpan w:val="4"/>
            <w:vAlign w:val="center"/>
          </w:tcPr>
          <w:p w14:paraId="56C5BF40">
            <w:pPr>
              <w:wordWrap w:val="0"/>
              <w:spacing w:line="280" w:lineRule="exact"/>
              <w:jc w:val="center"/>
              <w:rPr>
                <w:rFonts w:hint="eastAsia"/>
                <w:highlight w:val="none"/>
              </w:rPr>
            </w:pPr>
            <w:r>
              <w:rPr>
                <w:rFonts w:hint="eastAsia"/>
                <w:highlight w:val="none"/>
              </w:rPr>
              <w:t>采购代理机构意见</w:t>
            </w:r>
          </w:p>
        </w:tc>
        <w:tc>
          <w:tcPr>
            <w:tcW w:w="7110" w:type="dxa"/>
            <w:gridSpan w:val="5"/>
            <w:vAlign w:val="center"/>
          </w:tcPr>
          <w:p w14:paraId="7B46F069">
            <w:pPr>
              <w:wordWrap w:val="0"/>
              <w:spacing w:line="280" w:lineRule="exact"/>
              <w:jc w:val="center"/>
              <w:rPr>
                <w:rFonts w:hint="eastAsia"/>
                <w:highlight w:val="none"/>
              </w:rPr>
            </w:pPr>
            <w:r>
              <w:rPr>
                <w:rFonts w:hint="eastAsia"/>
                <w:highlight w:val="none"/>
              </w:rPr>
              <w:t>采购单位意见</w:t>
            </w:r>
          </w:p>
        </w:tc>
      </w:tr>
      <w:tr w14:paraId="55994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jc w:val="center"/>
        </w:trPr>
        <w:tc>
          <w:tcPr>
            <w:tcW w:w="7067" w:type="dxa"/>
            <w:gridSpan w:val="4"/>
          </w:tcPr>
          <w:p w14:paraId="293578EA">
            <w:pPr>
              <w:wordWrap w:val="0"/>
              <w:spacing w:line="280" w:lineRule="exact"/>
              <w:jc w:val="both"/>
              <w:rPr>
                <w:rFonts w:hint="eastAsia"/>
                <w:highlight w:val="none"/>
              </w:rPr>
            </w:pPr>
          </w:p>
          <w:p w14:paraId="0DA330A4">
            <w:pPr>
              <w:wordWrap w:val="0"/>
              <w:spacing w:line="280" w:lineRule="exact"/>
              <w:jc w:val="both"/>
              <w:rPr>
                <w:rFonts w:hint="eastAsia"/>
                <w:highlight w:val="none"/>
              </w:rPr>
            </w:pPr>
          </w:p>
          <w:p w14:paraId="02E76CC7">
            <w:pPr>
              <w:wordWrap w:val="0"/>
              <w:spacing w:line="280" w:lineRule="exact"/>
              <w:jc w:val="both"/>
              <w:rPr>
                <w:rFonts w:hint="eastAsia"/>
                <w:highlight w:val="none"/>
              </w:rPr>
            </w:pPr>
          </w:p>
          <w:p w14:paraId="55E4C4C5">
            <w:pPr>
              <w:wordWrap w:val="0"/>
              <w:spacing w:line="280" w:lineRule="exact"/>
              <w:jc w:val="both"/>
              <w:rPr>
                <w:rFonts w:hint="eastAsia"/>
                <w:highlight w:val="none"/>
              </w:rPr>
            </w:pPr>
            <w:r>
              <w:rPr>
                <w:rFonts w:hint="eastAsia"/>
                <w:highlight w:val="none"/>
              </w:rPr>
              <w:t>经办人：          负责人：      （采购代理机构公章）</w:t>
            </w:r>
          </w:p>
        </w:tc>
        <w:tc>
          <w:tcPr>
            <w:tcW w:w="7110" w:type="dxa"/>
            <w:gridSpan w:val="5"/>
          </w:tcPr>
          <w:p w14:paraId="1A1C2A37">
            <w:pPr>
              <w:wordWrap w:val="0"/>
              <w:spacing w:line="280" w:lineRule="exact"/>
              <w:jc w:val="center"/>
              <w:rPr>
                <w:rFonts w:hint="eastAsia"/>
                <w:highlight w:val="none"/>
              </w:rPr>
            </w:pPr>
          </w:p>
          <w:p w14:paraId="4002BE46">
            <w:pPr>
              <w:wordWrap w:val="0"/>
              <w:spacing w:line="280" w:lineRule="exact"/>
              <w:jc w:val="center"/>
              <w:rPr>
                <w:rFonts w:hint="eastAsia"/>
                <w:highlight w:val="none"/>
              </w:rPr>
            </w:pPr>
          </w:p>
          <w:p w14:paraId="66E1FF83">
            <w:pPr>
              <w:wordWrap w:val="0"/>
              <w:spacing w:line="280" w:lineRule="exact"/>
              <w:jc w:val="center"/>
              <w:rPr>
                <w:rFonts w:hint="eastAsia"/>
                <w:highlight w:val="none"/>
              </w:rPr>
            </w:pPr>
          </w:p>
          <w:p w14:paraId="445D97E7">
            <w:pPr>
              <w:wordWrap w:val="0"/>
              <w:spacing w:line="280" w:lineRule="exact"/>
              <w:jc w:val="center"/>
              <w:rPr>
                <w:rFonts w:hint="eastAsia"/>
                <w:highlight w:val="none"/>
              </w:rPr>
            </w:pPr>
            <w:r>
              <w:rPr>
                <w:rFonts w:hint="eastAsia"/>
                <w:highlight w:val="none"/>
              </w:rPr>
              <w:t>经办人：         负责人：                （采购单位公章）</w:t>
            </w:r>
          </w:p>
        </w:tc>
      </w:tr>
    </w:tbl>
    <w:p w14:paraId="7439E2F8">
      <w:pPr>
        <w:wordWrap w:val="0"/>
        <w:spacing w:line="280" w:lineRule="exact"/>
        <w:jc w:val="both"/>
        <w:rPr>
          <w:rFonts w:hint="eastAsia"/>
          <w:highlight w:val="none"/>
        </w:rPr>
      </w:pPr>
      <w:r>
        <w:rPr>
          <w:rFonts w:hint="eastAsia"/>
          <w:highlight w:val="none"/>
        </w:rPr>
        <w:t>说明：1.该表为服务类项目履约验收的参考样表，采购人或采购代理机构可以根据工作实际进行调整。</w:t>
      </w:r>
    </w:p>
    <w:p w14:paraId="6BC528CC">
      <w:pPr>
        <w:spacing w:line="280" w:lineRule="exact"/>
        <w:rPr>
          <w:rFonts w:hint="eastAsia"/>
          <w:sz w:val="21"/>
          <w:szCs w:val="16"/>
          <w:highlight w:val="none"/>
        </w:rPr>
      </w:pPr>
      <w:r>
        <w:rPr>
          <w:rFonts w:hint="eastAsia"/>
          <w:highlight w:val="none"/>
        </w:rPr>
        <w:t>2.“采购代理机构意见”，履约验收工作由采购人自行组织的，无需填写该项内容。</w:t>
      </w:r>
    </w:p>
    <w:sectPr>
      <w:footerReference r:id="rId16" w:type="even"/>
      <w:pgSz w:w="16838" w:h="11906" w:orient="landscape"/>
      <w:pgMar w:top="851" w:right="1440" w:bottom="397" w:left="1418" w:header="851" w:footer="992"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宋体-简">
    <w:altName w:val="宋体"/>
    <w:panose1 w:val="00000000000000000000"/>
    <w:charset w:val="00"/>
    <w:family w:val="auto"/>
    <w:pitch w:val="default"/>
    <w:sig w:usb0="00000000" w:usb1="00000000" w:usb2="00000000" w:usb3="00000000" w:csb0="0004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15153">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43C62">
    <w:pPr>
      <w:pStyle w:val="17"/>
      <w:tabs>
        <w:tab w:val="clear" w:pos="4153"/>
      </w:tabs>
      <w:jc w:val="center"/>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FAEE6C">
                          <w:pPr>
                            <w:pStyle w:val="17"/>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5FAEE6C">
                    <w:pPr>
                      <w:pStyle w:val="17"/>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77E9A">
    <w:pPr>
      <w:pStyle w:val="17"/>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FA1310">
                          <w:pPr>
                            <w:pStyle w:val="17"/>
                            <w:rPr>
                              <w:rFonts w:hint="eastAsia"/>
                            </w:rPr>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BFA1310">
                    <w:pPr>
                      <w:pStyle w:val="17"/>
                      <w:rPr>
                        <w:rFonts w:hint="eastAsia"/>
                      </w:rPr>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D2941">
    <w:pPr>
      <w:pStyle w:val="17"/>
      <w:ind w:right="360" w:firstLine="360"/>
      <w:jc w:val="right"/>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38C88B">
                          <w:pPr>
                            <w:pStyle w:val="17"/>
                            <w:rPr>
                              <w:rFonts w:hint="eastAsia"/>
                            </w:rPr>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0738C88B">
                    <w:pPr>
                      <w:pStyle w:val="17"/>
                      <w:rPr>
                        <w:rFonts w:hint="eastAsia"/>
                      </w:rPr>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0080A">
    <w:pPr>
      <w:pStyle w:val="17"/>
      <w:framePr w:wrap="around" w:vAnchor="text" w:hAnchor="margin" w:xAlign="center" w:y="1"/>
      <w:rPr>
        <w:rStyle w:val="34"/>
        <w:rFonts w:hint="eastAsia"/>
      </w:rPr>
    </w:pPr>
    <w:r>
      <w:fldChar w:fldCharType="begin"/>
    </w:r>
    <w:r>
      <w:rPr>
        <w:rStyle w:val="34"/>
      </w:rPr>
      <w:instrText xml:space="preserve">PAGE  </w:instrText>
    </w:r>
    <w:r>
      <w:fldChar w:fldCharType="end"/>
    </w:r>
  </w:p>
  <w:p w14:paraId="51F14CDC">
    <w:pPr>
      <w:pStyle w:val="17"/>
      <w:ind w:right="360" w:firstLine="360"/>
      <w:rPr>
        <w:rFonts w:hint="eastAsi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25192">
    <w:pPr>
      <w:pStyle w:val="17"/>
      <w:framePr w:wrap="around" w:vAnchor="text" w:hAnchor="margin" w:xAlign="right" w:y="1"/>
      <w:rPr>
        <w:rStyle w:val="34"/>
        <w:rFonts w:hint="eastAsia"/>
      </w:rPr>
    </w:pPr>
  </w:p>
  <w:p w14:paraId="1BC027CF">
    <w:pPr>
      <w:pStyle w:val="17"/>
      <w:ind w:right="360"/>
      <w:jc w:val="right"/>
      <w:rPr>
        <w:rFonts w:hint="eastAsia"/>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41FAF">
    <w:pPr>
      <w:pStyle w:val="17"/>
      <w:spacing w:line="240" w:lineRule="auto"/>
      <w:jc w:val="center"/>
      <w:rPr>
        <w:rFonts w:hint="eastAsia"/>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96216A">
                          <w:pPr>
                            <w:pStyle w:val="17"/>
                            <w:rPr>
                              <w:rFonts w:hint="eastAsia"/>
                            </w:rPr>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3E96216A">
                    <w:pPr>
                      <w:pStyle w:val="17"/>
                      <w:rPr>
                        <w:rFonts w:hint="eastAsia"/>
                      </w:rPr>
                    </w:pPr>
                    <w:r>
                      <w:fldChar w:fldCharType="begin"/>
                    </w:r>
                    <w:r>
                      <w:instrText xml:space="preserve"> PAGE  \* MERGEFORMAT </w:instrText>
                    </w:r>
                    <w:r>
                      <w:fldChar w:fldCharType="separate"/>
                    </w:r>
                    <w:r>
                      <w:t>41</w:t>
                    </w:r>
                    <w:r>
                      <w:fldChar w:fldCharType="end"/>
                    </w:r>
                  </w:p>
                </w:txbxContent>
              </v:textbox>
            </v:shape>
          </w:pict>
        </mc:Fallback>
      </mc:AlternateContent>
    </w:r>
  </w:p>
  <w:p w14:paraId="5D703957">
    <w:pPr>
      <w:pStyle w:val="17"/>
      <w:ind w:right="360"/>
      <w:jc w:val="right"/>
      <w:rPr>
        <w:rFonts w:hint="eastAsia"/>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22A87">
    <w:pPr>
      <w:pStyle w:val="17"/>
      <w:framePr w:wrap="around" w:vAnchor="text" w:hAnchor="margin" w:xAlign="center" w:y="1"/>
      <w:rPr>
        <w:rStyle w:val="34"/>
        <w:rFonts w:hint="eastAsia"/>
      </w:rPr>
    </w:pPr>
    <w:r>
      <w:fldChar w:fldCharType="begin"/>
    </w:r>
    <w:r>
      <w:rPr>
        <w:rStyle w:val="34"/>
      </w:rPr>
      <w:instrText xml:space="preserve">PAGE  </w:instrText>
    </w:r>
    <w:r>
      <w:fldChar w:fldCharType="end"/>
    </w:r>
  </w:p>
  <w:p w14:paraId="1E962D00">
    <w:pPr>
      <w:pStyle w:val="17"/>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EA200">
    <w:pPr>
      <w:pStyle w:val="19"/>
      <w:pBdr>
        <w:bottom w:val="single" w:color="auto" w:sz="4" w:space="0"/>
      </w:pBdr>
      <w:spacing w:line="240" w:lineRule="auto"/>
      <w:jc w:val="left"/>
      <w:rPr>
        <w:rFonts w:hint="eastAsia"/>
        <w:b w:val="0"/>
        <w:bCs/>
      </w:rPr>
    </w:pPr>
    <w:r>
      <w:rPr>
        <w:rFonts w:hint="eastAsia"/>
        <w:b w:val="0"/>
        <w:bCs/>
        <w:lang w:eastAsia="zh-CN"/>
      </w:rPr>
      <w:t>菏泽市住房和城乡建设局2025年度第三方质量安全辅助巡查服务项目</w:t>
    </w:r>
    <w:r>
      <w:rPr>
        <w:rFonts w:hint="eastAsia"/>
        <w:b w:val="0"/>
        <w:bCs/>
      </w:rPr>
      <w:t>竞争性磋商文件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26D23">
    <w:pPr>
      <w:pStyle w:val="19"/>
      <w:pBdr>
        <w:bottom w:val="single" w:color="auto" w:sz="4" w:space="0"/>
      </w:pBdr>
      <w:spacing w:line="240" w:lineRule="auto"/>
      <w:jc w:val="left"/>
      <w:rPr>
        <w:rFonts w:hint="eastAsia"/>
      </w:rPr>
    </w:pPr>
    <w:r>
      <w:rPr>
        <w:rFonts w:hint="eastAsia"/>
        <w:b/>
        <w:lang w:eastAsia="zh-CN"/>
      </w:rPr>
      <w:t>菏泽市住房和城乡建设局2025年度第三方质量安全辅助巡查服务项目</w:t>
    </w:r>
    <w:r>
      <w:rPr>
        <w:rFonts w:hint="eastAsia"/>
        <w:b/>
      </w:rPr>
      <w:t>竞争性磋商文件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C2775">
    <w:pPr>
      <w:pStyle w:val="19"/>
      <w:pBdr>
        <w:bottom w:val="single" w:color="auto" w:sz="4" w:space="0"/>
      </w:pBdr>
      <w:spacing w:line="240" w:lineRule="auto"/>
      <w:jc w:val="left"/>
      <w:rPr>
        <w:rFonts w:hint="eastAsia"/>
      </w:rPr>
    </w:pPr>
    <w:r>
      <w:rPr>
        <w:rFonts w:hint="eastAsia"/>
        <w:b/>
        <w:lang w:eastAsia="zh-CN"/>
      </w:rPr>
      <w:t>菏泽市住房和城乡建设局2025年度第三方质量安全辅助巡查服务项目</w:t>
    </w:r>
    <w:r>
      <w:rPr>
        <w:rFonts w:hint="eastAsia"/>
        <w:b/>
      </w:rPr>
      <w:t>竞争性磋商文件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007F1">
    <w:pPr>
      <w:pStyle w:val="19"/>
      <w:pBdr>
        <w:bottom w:val="single" w:color="auto" w:sz="4" w:space="0"/>
      </w:pBdr>
      <w:spacing w:line="240" w:lineRule="auto"/>
      <w:jc w:val="left"/>
      <w:rPr>
        <w:rFonts w:hint="eastAsia"/>
        <w:bCs/>
      </w:rPr>
    </w:pPr>
    <w:r>
      <w:rPr>
        <w:rFonts w:hint="eastAsia"/>
        <w:bCs/>
        <w:lang w:eastAsia="zh-CN"/>
      </w:rPr>
      <w:t>菏泽市住房和城乡建设局2025年度第三方质量安全辅助巡查服务项目</w:t>
    </w:r>
    <w:r>
      <w:rPr>
        <w:rFonts w:hint="eastAsia"/>
        <w:bCs/>
      </w:rPr>
      <w:t>竞争性磋商文件</w:t>
    </w:r>
  </w:p>
  <w:p w14:paraId="25AD773A">
    <w:pPr>
      <w:pStyle w:val="19"/>
      <w:pBdr>
        <w:bottom w:val="none" w:color="auto" w:sz="0" w:space="0"/>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51FBCF"/>
    <w:multiLevelType w:val="singleLevel"/>
    <w:tmpl w:val="CC51FBCF"/>
    <w:lvl w:ilvl="0" w:tentative="0">
      <w:start w:val="1"/>
      <w:numFmt w:val="decimal"/>
      <w:suff w:val="nothing"/>
      <w:lvlText w:val="%1．"/>
      <w:lvlJc w:val="left"/>
      <w:pPr>
        <w:ind w:left="0" w:firstLine="400"/>
      </w:pPr>
      <w:rPr>
        <w:rFonts w:hint="default"/>
      </w:rPr>
    </w:lvl>
  </w:abstractNum>
  <w:abstractNum w:abstractNumId="1">
    <w:nsid w:val="D091E0DC"/>
    <w:multiLevelType w:val="singleLevel"/>
    <w:tmpl w:val="D091E0DC"/>
    <w:lvl w:ilvl="0" w:tentative="0">
      <w:start w:val="2"/>
      <w:numFmt w:val="decimal"/>
      <w:suff w:val="nothing"/>
      <w:lvlText w:val="%1、"/>
      <w:lvlJc w:val="left"/>
    </w:lvl>
  </w:abstractNum>
  <w:abstractNum w:abstractNumId="2">
    <w:nsid w:val="E5F90495"/>
    <w:multiLevelType w:val="singleLevel"/>
    <w:tmpl w:val="E5F90495"/>
    <w:lvl w:ilvl="0" w:tentative="0">
      <w:start w:val="4"/>
      <w:numFmt w:val="decimal"/>
      <w:suff w:val="space"/>
      <w:lvlText w:val="第%1章"/>
      <w:lvlJc w:val="left"/>
    </w:lvl>
  </w:abstractNum>
  <w:abstractNum w:abstractNumId="3">
    <w:nsid w:val="0CEB2D3A"/>
    <w:multiLevelType w:val="singleLevel"/>
    <w:tmpl w:val="0CEB2D3A"/>
    <w:lvl w:ilvl="0" w:tentative="0">
      <w:start w:val="4"/>
      <w:numFmt w:val="chineseCounting"/>
      <w:suff w:val="nothing"/>
      <w:lvlText w:val="%1、"/>
      <w:lvlJc w:val="left"/>
      <w:rPr>
        <w:rFonts w:hint="eastAsia"/>
      </w:rPr>
    </w:lvl>
  </w:abstractNum>
  <w:abstractNum w:abstractNumId="4">
    <w:nsid w:val="3BD12B04"/>
    <w:multiLevelType w:val="singleLevel"/>
    <w:tmpl w:val="3BD12B04"/>
    <w:lvl w:ilvl="0" w:tentative="0">
      <w:start w:val="1"/>
      <w:numFmt w:val="decimal"/>
      <w:suff w:val="nothing"/>
      <w:lvlText w:val="%1．"/>
      <w:lvlJc w:val="left"/>
      <w:pPr>
        <w:ind w:left="0" w:firstLine="400"/>
      </w:pPr>
      <w:rPr>
        <w:rFonts w:hint="default"/>
      </w:rPr>
    </w:lvl>
  </w:abstractNum>
  <w:abstractNum w:abstractNumId="5">
    <w:nsid w:val="3CC16732"/>
    <w:multiLevelType w:val="singleLevel"/>
    <w:tmpl w:val="3CC16732"/>
    <w:lvl w:ilvl="0" w:tentative="0">
      <w:start w:val="2"/>
      <w:numFmt w:val="chineseCounting"/>
      <w:suff w:val="nothing"/>
      <w:lvlText w:val="%1、"/>
      <w:lvlJc w:val="left"/>
      <w:rPr>
        <w:rFonts w:hint="eastAsia"/>
      </w:rPr>
    </w:lvl>
  </w:abstractNum>
  <w:abstractNum w:abstractNumId="6">
    <w:nsid w:val="79618975"/>
    <w:multiLevelType w:val="singleLevel"/>
    <w:tmpl w:val="79618975"/>
    <w:lvl w:ilvl="0" w:tentative="0">
      <w:start w:val="36"/>
      <w:numFmt w:val="decimal"/>
      <w:lvlText w:val="%1."/>
      <w:lvlJc w:val="left"/>
      <w:pPr>
        <w:tabs>
          <w:tab w:val="left" w:pos="312"/>
        </w:tabs>
      </w:pPr>
    </w:lvl>
  </w:abstractNum>
  <w:abstractNum w:abstractNumId="7">
    <w:nsid w:val="7CA58843"/>
    <w:multiLevelType w:val="singleLevel"/>
    <w:tmpl w:val="7CA58843"/>
    <w:lvl w:ilvl="0" w:tentative="0">
      <w:start w:val="1"/>
      <w:numFmt w:val="decimal"/>
      <w:suff w:val="nothing"/>
      <w:lvlText w:val="%1．"/>
      <w:lvlJc w:val="left"/>
      <w:pPr>
        <w:ind w:left="320" w:firstLine="400"/>
      </w:pPr>
      <w:rPr>
        <w:rFonts w:hint="default"/>
      </w:rPr>
    </w:lvl>
  </w:abstractNum>
  <w:num w:numId="1">
    <w:abstractNumId w:val="6"/>
  </w:num>
  <w:num w:numId="2">
    <w:abstractNumId w:val="2"/>
  </w:num>
  <w:num w:numId="3">
    <w:abstractNumId w:val="5"/>
  </w:num>
  <w:num w:numId="4">
    <w:abstractNumId w:val="0"/>
  </w:num>
  <w:num w:numId="5">
    <w:abstractNumId w:val="7"/>
  </w:num>
  <w:num w:numId="6">
    <w:abstractNumId w:val="4"/>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MyN2QwZDJkYzlmYWU1MjBiOTQ4Y2VhZmUyNTUzMzYifQ=="/>
    <w:docVar w:name="KSO_WPS_MARK_KEY" w:val="149cca8c-3322-49d5-89db-e486b781b40d"/>
  </w:docVars>
  <w:rsids>
    <w:rsidRoot w:val="00172A27"/>
    <w:rsid w:val="000371CA"/>
    <w:rsid w:val="00043144"/>
    <w:rsid w:val="0005615F"/>
    <w:rsid w:val="000851EA"/>
    <w:rsid w:val="00092BE9"/>
    <w:rsid w:val="000F5645"/>
    <w:rsid w:val="00117F32"/>
    <w:rsid w:val="00134B0D"/>
    <w:rsid w:val="00135703"/>
    <w:rsid w:val="00142A91"/>
    <w:rsid w:val="0014668B"/>
    <w:rsid w:val="0015323E"/>
    <w:rsid w:val="001619AD"/>
    <w:rsid w:val="001660DB"/>
    <w:rsid w:val="00172A27"/>
    <w:rsid w:val="00174AE8"/>
    <w:rsid w:val="00185D8C"/>
    <w:rsid w:val="00195B12"/>
    <w:rsid w:val="001C2583"/>
    <w:rsid w:val="001E084D"/>
    <w:rsid w:val="001E18CE"/>
    <w:rsid w:val="002532C5"/>
    <w:rsid w:val="00257EB2"/>
    <w:rsid w:val="00280FD2"/>
    <w:rsid w:val="00286F9E"/>
    <w:rsid w:val="00292666"/>
    <w:rsid w:val="002C384F"/>
    <w:rsid w:val="002D3BED"/>
    <w:rsid w:val="0030672A"/>
    <w:rsid w:val="00324A71"/>
    <w:rsid w:val="00335D89"/>
    <w:rsid w:val="003501C0"/>
    <w:rsid w:val="00357293"/>
    <w:rsid w:val="00365F7F"/>
    <w:rsid w:val="00366F37"/>
    <w:rsid w:val="00370C8E"/>
    <w:rsid w:val="00393599"/>
    <w:rsid w:val="003A5002"/>
    <w:rsid w:val="003C5253"/>
    <w:rsid w:val="003D2886"/>
    <w:rsid w:val="003D30D8"/>
    <w:rsid w:val="003E1425"/>
    <w:rsid w:val="003E7573"/>
    <w:rsid w:val="00403E8D"/>
    <w:rsid w:val="00414905"/>
    <w:rsid w:val="00443BE5"/>
    <w:rsid w:val="004449F5"/>
    <w:rsid w:val="00472760"/>
    <w:rsid w:val="004B2135"/>
    <w:rsid w:val="004B2876"/>
    <w:rsid w:val="004F70C5"/>
    <w:rsid w:val="00510960"/>
    <w:rsid w:val="00531699"/>
    <w:rsid w:val="00533ABC"/>
    <w:rsid w:val="005631F0"/>
    <w:rsid w:val="005A5335"/>
    <w:rsid w:val="005B47AB"/>
    <w:rsid w:val="005C1F65"/>
    <w:rsid w:val="005C2A22"/>
    <w:rsid w:val="005D2994"/>
    <w:rsid w:val="005F755B"/>
    <w:rsid w:val="00610312"/>
    <w:rsid w:val="006230D8"/>
    <w:rsid w:val="00641454"/>
    <w:rsid w:val="006977AB"/>
    <w:rsid w:val="006B5B80"/>
    <w:rsid w:val="006D0611"/>
    <w:rsid w:val="006F014E"/>
    <w:rsid w:val="006F579D"/>
    <w:rsid w:val="0070239C"/>
    <w:rsid w:val="0072384C"/>
    <w:rsid w:val="007555F7"/>
    <w:rsid w:val="007631EE"/>
    <w:rsid w:val="00764B9B"/>
    <w:rsid w:val="00782C06"/>
    <w:rsid w:val="00782E59"/>
    <w:rsid w:val="007F2D84"/>
    <w:rsid w:val="007F4D4F"/>
    <w:rsid w:val="00812159"/>
    <w:rsid w:val="00844E37"/>
    <w:rsid w:val="00863209"/>
    <w:rsid w:val="00871354"/>
    <w:rsid w:val="00896D18"/>
    <w:rsid w:val="008A3AEF"/>
    <w:rsid w:val="008A6052"/>
    <w:rsid w:val="008B4C84"/>
    <w:rsid w:val="008D313A"/>
    <w:rsid w:val="008D6D9C"/>
    <w:rsid w:val="00906279"/>
    <w:rsid w:val="009905C6"/>
    <w:rsid w:val="0099301F"/>
    <w:rsid w:val="009C2969"/>
    <w:rsid w:val="009D05A7"/>
    <w:rsid w:val="009D0EA3"/>
    <w:rsid w:val="009D6838"/>
    <w:rsid w:val="00A01778"/>
    <w:rsid w:val="00A37925"/>
    <w:rsid w:val="00A37AC1"/>
    <w:rsid w:val="00A47BF0"/>
    <w:rsid w:val="00A8691E"/>
    <w:rsid w:val="00AA40A2"/>
    <w:rsid w:val="00AB06C6"/>
    <w:rsid w:val="00AB7A64"/>
    <w:rsid w:val="00AD22F6"/>
    <w:rsid w:val="00B06E28"/>
    <w:rsid w:val="00B222F3"/>
    <w:rsid w:val="00B51360"/>
    <w:rsid w:val="00B5197E"/>
    <w:rsid w:val="00BA5F85"/>
    <w:rsid w:val="00BB1C88"/>
    <w:rsid w:val="00BE1545"/>
    <w:rsid w:val="00BF4226"/>
    <w:rsid w:val="00C45960"/>
    <w:rsid w:val="00C467F5"/>
    <w:rsid w:val="00C62F79"/>
    <w:rsid w:val="00C6483B"/>
    <w:rsid w:val="00C90347"/>
    <w:rsid w:val="00C9528F"/>
    <w:rsid w:val="00CA7CEF"/>
    <w:rsid w:val="00CB0949"/>
    <w:rsid w:val="00CD79DA"/>
    <w:rsid w:val="00D06E29"/>
    <w:rsid w:val="00D14386"/>
    <w:rsid w:val="00D54259"/>
    <w:rsid w:val="00D644CF"/>
    <w:rsid w:val="00D90CE5"/>
    <w:rsid w:val="00DC713E"/>
    <w:rsid w:val="00DE1AEF"/>
    <w:rsid w:val="00E23B11"/>
    <w:rsid w:val="00E24BE7"/>
    <w:rsid w:val="00E30E35"/>
    <w:rsid w:val="00E32F35"/>
    <w:rsid w:val="00E46AD2"/>
    <w:rsid w:val="00E85C7E"/>
    <w:rsid w:val="00ED3BD8"/>
    <w:rsid w:val="00ED601B"/>
    <w:rsid w:val="00EF4D30"/>
    <w:rsid w:val="00F03E88"/>
    <w:rsid w:val="00F122FC"/>
    <w:rsid w:val="00FB2855"/>
    <w:rsid w:val="00FC6DF3"/>
    <w:rsid w:val="00FF4A9A"/>
    <w:rsid w:val="01042CD0"/>
    <w:rsid w:val="01083CCE"/>
    <w:rsid w:val="010D1203"/>
    <w:rsid w:val="012308D6"/>
    <w:rsid w:val="01290ABE"/>
    <w:rsid w:val="012A4480"/>
    <w:rsid w:val="01320F7F"/>
    <w:rsid w:val="014D4677"/>
    <w:rsid w:val="01546175"/>
    <w:rsid w:val="01584166"/>
    <w:rsid w:val="015974C0"/>
    <w:rsid w:val="015E0632"/>
    <w:rsid w:val="01635C49"/>
    <w:rsid w:val="016426B9"/>
    <w:rsid w:val="01643BA6"/>
    <w:rsid w:val="017556AA"/>
    <w:rsid w:val="0177566F"/>
    <w:rsid w:val="017E5F68"/>
    <w:rsid w:val="01853E11"/>
    <w:rsid w:val="018651AC"/>
    <w:rsid w:val="01905D33"/>
    <w:rsid w:val="019B1886"/>
    <w:rsid w:val="019E4596"/>
    <w:rsid w:val="01A21195"/>
    <w:rsid w:val="01AF70E0"/>
    <w:rsid w:val="01C934F0"/>
    <w:rsid w:val="01DB2629"/>
    <w:rsid w:val="01DE1773"/>
    <w:rsid w:val="01E70628"/>
    <w:rsid w:val="01EA5747"/>
    <w:rsid w:val="01EF3980"/>
    <w:rsid w:val="01F7662F"/>
    <w:rsid w:val="020E3E06"/>
    <w:rsid w:val="02145195"/>
    <w:rsid w:val="021F6013"/>
    <w:rsid w:val="022655F4"/>
    <w:rsid w:val="023453E1"/>
    <w:rsid w:val="02353A89"/>
    <w:rsid w:val="024377EA"/>
    <w:rsid w:val="02463399"/>
    <w:rsid w:val="024C0D22"/>
    <w:rsid w:val="025566E1"/>
    <w:rsid w:val="025A189D"/>
    <w:rsid w:val="025F4662"/>
    <w:rsid w:val="02647ECA"/>
    <w:rsid w:val="02691984"/>
    <w:rsid w:val="02834FF2"/>
    <w:rsid w:val="02853C61"/>
    <w:rsid w:val="028E3199"/>
    <w:rsid w:val="029118DB"/>
    <w:rsid w:val="02912272"/>
    <w:rsid w:val="029C7166"/>
    <w:rsid w:val="02B54E3A"/>
    <w:rsid w:val="02D87377"/>
    <w:rsid w:val="02DF7EB2"/>
    <w:rsid w:val="02E35293"/>
    <w:rsid w:val="02E51623"/>
    <w:rsid w:val="02ED16C9"/>
    <w:rsid w:val="02F97B00"/>
    <w:rsid w:val="0300012C"/>
    <w:rsid w:val="030003DF"/>
    <w:rsid w:val="030C3B04"/>
    <w:rsid w:val="0310723F"/>
    <w:rsid w:val="03107BE9"/>
    <w:rsid w:val="03157416"/>
    <w:rsid w:val="032B375B"/>
    <w:rsid w:val="033C1FDC"/>
    <w:rsid w:val="03405F65"/>
    <w:rsid w:val="03415C27"/>
    <w:rsid w:val="034612EA"/>
    <w:rsid w:val="034649C6"/>
    <w:rsid w:val="034A3564"/>
    <w:rsid w:val="034D230F"/>
    <w:rsid w:val="035036FB"/>
    <w:rsid w:val="03586EF4"/>
    <w:rsid w:val="03634A99"/>
    <w:rsid w:val="03695732"/>
    <w:rsid w:val="03697074"/>
    <w:rsid w:val="036B2EE1"/>
    <w:rsid w:val="036F3BD2"/>
    <w:rsid w:val="036F3D28"/>
    <w:rsid w:val="03773C2D"/>
    <w:rsid w:val="037B71C5"/>
    <w:rsid w:val="037C7496"/>
    <w:rsid w:val="038B1487"/>
    <w:rsid w:val="03A964DC"/>
    <w:rsid w:val="03C048EF"/>
    <w:rsid w:val="03C10264"/>
    <w:rsid w:val="03D1333D"/>
    <w:rsid w:val="03DD7F34"/>
    <w:rsid w:val="03E93059"/>
    <w:rsid w:val="03EA5E52"/>
    <w:rsid w:val="03EC4DDD"/>
    <w:rsid w:val="03EF1DB7"/>
    <w:rsid w:val="03F43D31"/>
    <w:rsid w:val="03F90AE6"/>
    <w:rsid w:val="04045D8B"/>
    <w:rsid w:val="04051239"/>
    <w:rsid w:val="041341B1"/>
    <w:rsid w:val="041651F4"/>
    <w:rsid w:val="041A0C47"/>
    <w:rsid w:val="041A4511"/>
    <w:rsid w:val="041B7EC2"/>
    <w:rsid w:val="041F054D"/>
    <w:rsid w:val="04252B7A"/>
    <w:rsid w:val="042839DF"/>
    <w:rsid w:val="042E3266"/>
    <w:rsid w:val="0430275A"/>
    <w:rsid w:val="043D0FA7"/>
    <w:rsid w:val="043E19CF"/>
    <w:rsid w:val="04436EB7"/>
    <w:rsid w:val="04477AA3"/>
    <w:rsid w:val="04483B5B"/>
    <w:rsid w:val="04510922"/>
    <w:rsid w:val="045B52FD"/>
    <w:rsid w:val="045F0E76"/>
    <w:rsid w:val="04630422"/>
    <w:rsid w:val="048C54B6"/>
    <w:rsid w:val="048C7171"/>
    <w:rsid w:val="049752DD"/>
    <w:rsid w:val="04992726"/>
    <w:rsid w:val="04B54E2D"/>
    <w:rsid w:val="04C15B84"/>
    <w:rsid w:val="04C17856"/>
    <w:rsid w:val="04C603A8"/>
    <w:rsid w:val="04CB127C"/>
    <w:rsid w:val="04D37589"/>
    <w:rsid w:val="04D61086"/>
    <w:rsid w:val="04D710AE"/>
    <w:rsid w:val="04D92C67"/>
    <w:rsid w:val="04E225CF"/>
    <w:rsid w:val="04E24E94"/>
    <w:rsid w:val="04E91253"/>
    <w:rsid w:val="050414F1"/>
    <w:rsid w:val="05121E5F"/>
    <w:rsid w:val="0517286D"/>
    <w:rsid w:val="051A7385"/>
    <w:rsid w:val="051D683D"/>
    <w:rsid w:val="051F457C"/>
    <w:rsid w:val="05237BC9"/>
    <w:rsid w:val="052B0254"/>
    <w:rsid w:val="052F5FCA"/>
    <w:rsid w:val="053B62FF"/>
    <w:rsid w:val="05452235"/>
    <w:rsid w:val="055552FE"/>
    <w:rsid w:val="0562467F"/>
    <w:rsid w:val="056A659B"/>
    <w:rsid w:val="057A17B3"/>
    <w:rsid w:val="058751C8"/>
    <w:rsid w:val="05950139"/>
    <w:rsid w:val="0599640F"/>
    <w:rsid w:val="059B40BD"/>
    <w:rsid w:val="05A31B89"/>
    <w:rsid w:val="05A515FE"/>
    <w:rsid w:val="05B334EE"/>
    <w:rsid w:val="05B52D0F"/>
    <w:rsid w:val="05BB6053"/>
    <w:rsid w:val="05BF60C0"/>
    <w:rsid w:val="05CA021E"/>
    <w:rsid w:val="05D16CD8"/>
    <w:rsid w:val="05F257ED"/>
    <w:rsid w:val="06005601"/>
    <w:rsid w:val="060E0879"/>
    <w:rsid w:val="061816F7"/>
    <w:rsid w:val="062F3179"/>
    <w:rsid w:val="06305E30"/>
    <w:rsid w:val="06324E0F"/>
    <w:rsid w:val="063B53E6"/>
    <w:rsid w:val="063F7330"/>
    <w:rsid w:val="06400C4E"/>
    <w:rsid w:val="0648365F"/>
    <w:rsid w:val="06532730"/>
    <w:rsid w:val="06742CD4"/>
    <w:rsid w:val="067634B4"/>
    <w:rsid w:val="067A2E0A"/>
    <w:rsid w:val="067D6262"/>
    <w:rsid w:val="067F2AD6"/>
    <w:rsid w:val="0681229D"/>
    <w:rsid w:val="06824E1C"/>
    <w:rsid w:val="06866FB8"/>
    <w:rsid w:val="068C5C42"/>
    <w:rsid w:val="06976AC0"/>
    <w:rsid w:val="069B7C33"/>
    <w:rsid w:val="069C75DF"/>
    <w:rsid w:val="06A032C2"/>
    <w:rsid w:val="06A05249"/>
    <w:rsid w:val="06A55370"/>
    <w:rsid w:val="06A62DC1"/>
    <w:rsid w:val="06A90550"/>
    <w:rsid w:val="06AC023B"/>
    <w:rsid w:val="06B05159"/>
    <w:rsid w:val="06B05D10"/>
    <w:rsid w:val="06C70EE0"/>
    <w:rsid w:val="06C74530"/>
    <w:rsid w:val="06CA7B30"/>
    <w:rsid w:val="06DC0977"/>
    <w:rsid w:val="06DD024B"/>
    <w:rsid w:val="06DD2186"/>
    <w:rsid w:val="06E5543A"/>
    <w:rsid w:val="06EA6D58"/>
    <w:rsid w:val="070954E4"/>
    <w:rsid w:val="07153E89"/>
    <w:rsid w:val="07222132"/>
    <w:rsid w:val="07282030"/>
    <w:rsid w:val="074D1529"/>
    <w:rsid w:val="07547510"/>
    <w:rsid w:val="07565BF4"/>
    <w:rsid w:val="0757720C"/>
    <w:rsid w:val="076241C2"/>
    <w:rsid w:val="077F7901"/>
    <w:rsid w:val="078B414B"/>
    <w:rsid w:val="079A4937"/>
    <w:rsid w:val="079E2276"/>
    <w:rsid w:val="07A174CB"/>
    <w:rsid w:val="07A21860"/>
    <w:rsid w:val="07AC3FB4"/>
    <w:rsid w:val="07B31E7C"/>
    <w:rsid w:val="07B61B72"/>
    <w:rsid w:val="07C5765D"/>
    <w:rsid w:val="07DE427B"/>
    <w:rsid w:val="07DF7A83"/>
    <w:rsid w:val="07E771D0"/>
    <w:rsid w:val="07F23FE2"/>
    <w:rsid w:val="07F84E03"/>
    <w:rsid w:val="08014B07"/>
    <w:rsid w:val="080E239D"/>
    <w:rsid w:val="08156A90"/>
    <w:rsid w:val="082843C1"/>
    <w:rsid w:val="082F2D28"/>
    <w:rsid w:val="0834331D"/>
    <w:rsid w:val="08362309"/>
    <w:rsid w:val="083B4727"/>
    <w:rsid w:val="083E6B71"/>
    <w:rsid w:val="084E65E3"/>
    <w:rsid w:val="08597DA5"/>
    <w:rsid w:val="08601134"/>
    <w:rsid w:val="086F1377"/>
    <w:rsid w:val="08715E39"/>
    <w:rsid w:val="087D1070"/>
    <w:rsid w:val="08861CA4"/>
    <w:rsid w:val="088B14A7"/>
    <w:rsid w:val="088C017B"/>
    <w:rsid w:val="088C0B6F"/>
    <w:rsid w:val="08906ACC"/>
    <w:rsid w:val="08A65EE9"/>
    <w:rsid w:val="08AB3CEE"/>
    <w:rsid w:val="08C32526"/>
    <w:rsid w:val="08C745BC"/>
    <w:rsid w:val="08CB2A51"/>
    <w:rsid w:val="08D746E1"/>
    <w:rsid w:val="08DF474E"/>
    <w:rsid w:val="08E726E9"/>
    <w:rsid w:val="08E96A5C"/>
    <w:rsid w:val="08EC2594"/>
    <w:rsid w:val="08F8136C"/>
    <w:rsid w:val="090146C5"/>
    <w:rsid w:val="090441B5"/>
    <w:rsid w:val="0909649A"/>
    <w:rsid w:val="091557D8"/>
    <w:rsid w:val="092365E2"/>
    <w:rsid w:val="092777A3"/>
    <w:rsid w:val="092F2C5A"/>
    <w:rsid w:val="09303BAF"/>
    <w:rsid w:val="093C603D"/>
    <w:rsid w:val="093F2D94"/>
    <w:rsid w:val="094E207A"/>
    <w:rsid w:val="094E5430"/>
    <w:rsid w:val="095511AA"/>
    <w:rsid w:val="0959740A"/>
    <w:rsid w:val="095A66FD"/>
    <w:rsid w:val="095E38C5"/>
    <w:rsid w:val="096422B6"/>
    <w:rsid w:val="096E5162"/>
    <w:rsid w:val="09750C0F"/>
    <w:rsid w:val="09772BD9"/>
    <w:rsid w:val="09842C00"/>
    <w:rsid w:val="098B585D"/>
    <w:rsid w:val="09985B4B"/>
    <w:rsid w:val="099C0749"/>
    <w:rsid w:val="09A162D8"/>
    <w:rsid w:val="09AB7E43"/>
    <w:rsid w:val="09C000DC"/>
    <w:rsid w:val="09C317FD"/>
    <w:rsid w:val="09D62E35"/>
    <w:rsid w:val="09D92F4C"/>
    <w:rsid w:val="09DE67B4"/>
    <w:rsid w:val="09EA0C98"/>
    <w:rsid w:val="09F13067"/>
    <w:rsid w:val="09F4721D"/>
    <w:rsid w:val="09F81059"/>
    <w:rsid w:val="09FE63BB"/>
    <w:rsid w:val="0A0237AF"/>
    <w:rsid w:val="0A04255A"/>
    <w:rsid w:val="0A0C1496"/>
    <w:rsid w:val="0A0C1573"/>
    <w:rsid w:val="0A1F260A"/>
    <w:rsid w:val="0A210579"/>
    <w:rsid w:val="0A26619E"/>
    <w:rsid w:val="0A374116"/>
    <w:rsid w:val="0A38135E"/>
    <w:rsid w:val="0A3C3411"/>
    <w:rsid w:val="0A45645C"/>
    <w:rsid w:val="0A4C5E14"/>
    <w:rsid w:val="0A54731F"/>
    <w:rsid w:val="0A5847B8"/>
    <w:rsid w:val="0A5C47DB"/>
    <w:rsid w:val="0A5D3B7D"/>
    <w:rsid w:val="0A60366D"/>
    <w:rsid w:val="0A7124D2"/>
    <w:rsid w:val="0A724D7D"/>
    <w:rsid w:val="0AAE6186"/>
    <w:rsid w:val="0AB57901"/>
    <w:rsid w:val="0ABD0ABF"/>
    <w:rsid w:val="0AC21C32"/>
    <w:rsid w:val="0AC21C94"/>
    <w:rsid w:val="0ACD6BEC"/>
    <w:rsid w:val="0AE73475"/>
    <w:rsid w:val="0AE9430C"/>
    <w:rsid w:val="0AE96B29"/>
    <w:rsid w:val="0AF87123"/>
    <w:rsid w:val="0B074BC0"/>
    <w:rsid w:val="0B201E7D"/>
    <w:rsid w:val="0B265AE7"/>
    <w:rsid w:val="0B35430F"/>
    <w:rsid w:val="0B5273F3"/>
    <w:rsid w:val="0B5F4C84"/>
    <w:rsid w:val="0B6727D9"/>
    <w:rsid w:val="0B6D0776"/>
    <w:rsid w:val="0B772F41"/>
    <w:rsid w:val="0B7A300D"/>
    <w:rsid w:val="0B8415DD"/>
    <w:rsid w:val="0B8D54BB"/>
    <w:rsid w:val="0B8E5C21"/>
    <w:rsid w:val="0B9F46D6"/>
    <w:rsid w:val="0BA66F88"/>
    <w:rsid w:val="0BAD5691"/>
    <w:rsid w:val="0BB71C77"/>
    <w:rsid w:val="0BB772BD"/>
    <w:rsid w:val="0BBE7462"/>
    <w:rsid w:val="0BC049E7"/>
    <w:rsid w:val="0BC642D0"/>
    <w:rsid w:val="0BC83278"/>
    <w:rsid w:val="0BCB0FBA"/>
    <w:rsid w:val="0BCF6C70"/>
    <w:rsid w:val="0BD41096"/>
    <w:rsid w:val="0BD460C1"/>
    <w:rsid w:val="0BDE0828"/>
    <w:rsid w:val="0BE61950"/>
    <w:rsid w:val="0BE74AE9"/>
    <w:rsid w:val="0BEB4218"/>
    <w:rsid w:val="0BEF4CA9"/>
    <w:rsid w:val="0BFC5E27"/>
    <w:rsid w:val="0BFC73C5"/>
    <w:rsid w:val="0BFE313E"/>
    <w:rsid w:val="0C087B18"/>
    <w:rsid w:val="0C136857"/>
    <w:rsid w:val="0C191D25"/>
    <w:rsid w:val="0C192C12"/>
    <w:rsid w:val="0C252478"/>
    <w:rsid w:val="0C2D2DA0"/>
    <w:rsid w:val="0C363F4D"/>
    <w:rsid w:val="0C3D3FF4"/>
    <w:rsid w:val="0C406FEC"/>
    <w:rsid w:val="0C4233F1"/>
    <w:rsid w:val="0C443CCA"/>
    <w:rsid w:val="0C44545B"/>
    <w:rsid w:val="0C483616"/>
    <w:rsid w:val="0C662A91"/>
    <w:rsid w:val="0C685EAE"/>
    <w:rsid w:val="0C69503D"/>
    <w:rsid w:val="0C7358DA"/>
    <w:rsid w:val="0C7E427E"/>
    <w:rsid w:val="0C80226F"/>
    <w:rsid w:val="0C8310F1"/>
    <w:rsid w:val="0C9535E7"/>
    <w:rsid w:val="0CAF6EE1"/>
    <w:rsid w:val="0CB4123F"/>
    <w:rsid w:val="0CBF0B1F"/>
    <w:rsid w:val="0CBF7754"/>
    <w:rsid w:val="0CC26F88"/>
    <w:rsid w:val="0CD02F23"/>
    <w:rsid w:val="0CD826BB"/>
    <w:rsid w:val="0D0522AA"/>
    <w:rsid w:val="0D077DD0"/>
    <w:rsid w:val="0D133F95"/>
    <w:rsid w:val="0D1349C7"/>
    <w:rsid w:val="0D3440CD"/>
    <w:rsid w:val="0D352B8F"/>
    <w:rsid w:val="0D3833A0"/>
    <w:rsid w:val="0D3C3F81"/>
    <w:rsid w:val="0D49488C"/>
    <w:rsid w:val="0D6A60AA"/>
    <w:rsid w:val="0D7045EE"/>
    <w:rsid w:val="0D786F20"/>
    <w:rsid w:val="0D863997"/>
    <w:rsid w:val="0D8B6C53"/>
    <w:rsid w:val="0D8D4779"/>
    <w:rsid w:val="0D9035AD"/>
    <w:rsid w:val="0D95362E"/>
    <w:rsid w:val="0DB3425E"/>
    <w:rsid w:val="0DB64AEE"/>
    <w:rsid w:val="0DBB75DE"/>
    <w:rsid w:val="0DC16419"/>
    <w:rsid w:val="0DC6582B"/>
    <w:rsid w:val="0DC83A03"/>
    <w:rsid w:val="0DD4245B"/>
    <w:rsid w:val="0DD73C46"/>
    <w:rsid w:val="0DDD54F8"/>
    <w:rsid w:val="0E067394"/>
    <w:rsid w:val="0E286250"/>
    <w:rsid w:val="0E2C59C2"/>
    <w:rsid w:val="0E325320"/>
    <w:rsid w:val="0E3771A3"/>
    <w:rsid w:val="0E3E0A6A"/>
    <w:rsid w:val="0E4513FB"/>
    <w:rsid w:val="0E4B7EDA"/>
    <w:rsid w:val="0E4D43F9"/>
    <w:rsid w:val="0E4F73C5"/>
    <w:rsid w:val="0E5232CD"/>
    <w:rsid w:val="0E5434E9"/>
    <w:rsid w:val="0E5C414B"/>
    <w:rsid w:val="0E5E4367"/>
    <w:rsid w:val="0E6F5BAF"/>
    <w:rsid w:val="0E71575C"/>
    <w:rsid w:val="0E792F4F"/>
    <w:rsid w:val="0E821FED"/>
    <w:rsid w:val="0E8A515C"/>
    <w:rsid w:val="0E8B2881"/>
    <w:rsid w:val="0E8D07A9"/>
    <w:rsid w:val="0E930FAC"/>
    <w:rsid w:val="0E955713"/>
    <w:rsid w:val="0E9E4BAD"/>
    <w:rsid w:val="0EA979DA"/>
    <w:rsid w:val="0EB45D35"/>
    <w:rsid w:val="0EB5706D"/>
    <w:rsid w:val="0EBC2521"/>
    <w:rsid w:val="0EC01D94"/>
    <w:rsid w:val="0ECD65E3"/>
    <w:rsid w:val="0EDB59B8"/>
    <w:rsid w:val="0EE06B2A"/>
    <w:rsid w:val="0EE54141"/>
    <w:rsid w:val="0EE93285"/>
    <w:rsid w:val="0EEA5BFB"/>
    <w:rsid w:val="0EEC3721"/>
    <w:rsid w:val="0EF83E74"/>
    <w:rsid w:val="0F194228"/>
    <w:rsid w:val="0F194390"/>
    <w:rsid w:val="0F1D38DB"/>
    <w:rsid w:val="0F21130D"/>
    <w:rsid w:val="0F2733F1"/>
    <w:rsid w:val="0F354B15"/>
    <w:rsid w:val="0F366148"/>
    <w:rsid w:val="0F3B4D98"/>
    <w:rsid w:val="0F56503F"/>
    <w:rsid w:val="0F6D2220"/>
    <w:rsid w:val="0F9D083E"/>
    <w:rsid w:val="0FAC71D9"/>
    <w:rsid w:val="0FAE09D7"/>
    <w:rsid w:val="0FB31E5E"/>
    <w:rsid w:val="0FC30926"/>
    <w:rsid w:val="0FCB1378"/>
    <w:rsid w:val="0FD1280D"/>
    <w:rsid w:val="0FD53229"/>
    <w:rsid w:val="0FDA5C70"/>
    <w:rsid w:val="0FDE2571"/>
    <w:rsid w:val="0FE227FC"/>
    <w:rsid w:val="0FE32CA9"/>
    <w:rsid w:val="0FE73EE9"/>
    <w:rsid w:val="0FF2010F"/>
    <w:rsid w:val="0FF7237E"/>
    <w:rsid w:val="100131FC"/>
    <w:rsid w:val="10030FB8"/>
    <w:rsid w:val="10060813"/>
    <w:rsid w:val="100A5B1A"/>
    <w:rsid w:val="100D1BA1"/>
    <w:rsid w:val="10210AA0"/>
    <w:rsid w:val="102351BA"/>
    <w:rsid w:val="102B7C8D"/>
    <w:rsid w:val="1045133B"/>
    <w:rsid w:val="10484987"/>
    <w:rsid w:val="104B091B"/>
    <w:rsid w:val="104E5F6B"/>
    <w:rsid w:val="105570A4"/>
    <w:rsid w:val="10564BB9"/>
    <w:rsid w:val="105C0433"/>
    <w:rsid w:val="10606059"/>
    <w:rsid w:val="108D683E"/>
    <w:rsid w:val="108D6903"/>
    <w:rsid w:val="108F25B6"/>
    <w:rsid w:val="10A45B4F"/>
    <w:rsid w:val="10AD01F7"/>
    <w:rsid w:val="10AF2C58"/>
    <w:rsid w:val="10B97CBE"/>
    <w:rsid w:val="10C059D3"/>
    <w:rsid w:val="10C20BDE"/>
    <w:rsid w:val="10CC7FE0"/>
    <w:rsid w:val="10EA14DF"/>
    <w:rsid w:val="11000326"/>
    <w:rsid w:val="11093861"/>
    <w:rsid w:val="110E3D7C"/>
    <w:rsid w:val="110F7B9B"/>
    <w:rsid w:val="11160F29"/>
    <w:rsid w:val="11164A85"/>
    <w:rsid w:val="11194044"/>
    <w:rsid w:val="111D5E14"/>
    <w:rsid w:val="111E48D6"/>
    <w:rsid w:val="11217992"/>
    <w:rsid w:val="11226DEE"/>
    <w:rsid w:val="11245940"/>
    <w:rsid w:val="11271466"/>
    <w:rsid w:val="112E6273"/>
    <w:rsid w:val="11344B59"/>
    <w:rsid w:val="11354732"/>
    <w:rsid w:val="11390774"/>
    <w:rsid w:val="11401B02"/>
    <w:rsid w:val="114C494B"/>
    <w:rsid w:val="115B1273"/>
    <w:rsid w:val="115F467E"/>
    <w:rsid w:val="116577BB"/>
    <w:rsid w:val="116E0691"/>
    <w:rsid w:val="117128E8"/>
    <w:rsid w:val="117619C8"/>
    <w:rsid w:val="117B3B53"/>
    <w:rsid w:val="117F262B"/>
    <w:rsid w:val="11823E5F"/>
    <w:rsid w:val="11847C41"/>
    <w:rsid w:val="11847F0B"/>
    <w:rsid w:val="118916FB"/>
    <w:rsid w:val="11A6405B"/>
    <w:rsid w:val="11AC0F46"/>
    <w:rsid w:val="11AD363C"/>
    <w:rsid w:val="11AE4CBE"/>
    <w:rsid w:val="11B557FB"/>
    <w:rsid w:val="11B77E8A"/>
    <w:rsid w:val="11BF6F17"/>
    <w:rsid w:val="11D30F88"/>
    <w:rsid w:val="11DF30C9"/>
    <w:rsid w:val="11E615D4"/>
    <w:rsid w:val="11E947EA"/>
    <w:rsid w:val="11EF188E"/>
    <w:rsid w:val="11EF796A"/>
    <w:rsid w:val="11F43141"/>
    <w:rsid w:val="12016853"/>
    <w:rsid w:val="12072620"/>
    <w:rsid w:val="120D7634"/>
    <w:rsid w:val="12107727"/>
    <w:rsid w:val="12154D3D"/>
    <w:rsid w:val="1217359E"/>
    <w:rsid w:val="12187D0A"/>
    <w:rsid w:val="121B515F"/>
    <w:rsid w:val="122A709A"/>
    <w:rsid w:val="123D0395"/>
    <w:rsid w:val="124F2F88"/>
    <w:rsid w:val="12525F91"/>
    <w:rsid w:val="125625B8"/>
    <w:rsid w:val="12597320"/>
    <w:rsid w:val="125D0492"/>
    <w:rsid w:val="125D4498"/>
    <w:rsid w:val="125E4B0E"/>
    <w:rsid w:val="12614426"/>
    <w:rsid w:val="12705D8B"/>
    <w:rsid w:val="127952CC"/>
    <w:rsid w:val="127A1CD1"/>
    <w:rsid w:val="127A7296"/>
    <w:rsid w:val="128524A3"/>
    <w:rsid w:val="128679E9"/>
    <w:rsid w:val="12890CD2"/>
    <w:rsid w:val="128E77A1"/>
    <w:rsid w:val="12957F62"/>
    <w:rsid w:val="129E1DE1"/>
    <w:rsid w:val="12A10CC7"/>
    <w:rsid w:val="12A460C1"/>
    <w:rsid w:val="12A54313"/>
    <w:rsid w:val="12BB58E4"/>
    <w:rsid w:val="12BD67FA"/>
    <w:rsid w:val="12BF743E"/>
    <w:rsid w:val="12C02EFB"/>
    <w:rsid w:val="12C50511"/>
    <w:rsid w:val="12C623BA"/>
    <w:rsid w:val="12D657AB"/>
    <w:rsid w:val="12E22C92"/>
    <w:rsid w:val="12F31522"/>
    <w:rsid w:val="12F9465F"/>
    <w:rsid w:val="130A23C8"/>
    <w:rsid w:val="13272DF1"/>
    <w:rsid w:val="133236CD"/>
    <w:rsid w:val="13397BAD"/>
    <w:rsid w:val="13443B64"/>
    <w:rsid w:val="13594BCA"/>
    <w:rsid w:val="13597C1F"/>
    <w:rsid w:val="13622204"/>
    <w:rsid w:val="136C4E31"/>
    <w:rsid w:val="137A48F6"/>
    <w:rsid w:val="137B1173"/>
    <w:rsid w:val="137B7E93"/>
    <w:rsid w:val="1392569C"/>
    <w:rsid w:val="13961EAE"/>
    <w:rsid w:val="139D35FD"/>
    <w:rsid w:val="13A740BB"/>
    <w:rsid w:val="13AE369B"/>
    <w:rsid w:val="13AE7BB3"/>
    <w:rsid w:val="13B41BCC"/>
    <w:rsid w:val="13BE1051"/>
    <w:rsid w:val="13C221AE"/>
    <w:rsid w:val="13D002EC"/>
    <w:rsid w:val="13E90FEC"/>
    <w:rsid w:val="13EE5846"/>
    <w:rsid w:val="13F07810"/>
    <w:rsid w:val="14117786"/>
    <w:rsid w:val="14172FEE"/>
    <w:rsid w:val="14195214"/>
    <w:rsid w:val="141C6857"/>
    <w:rsid w:val="14225B8E"/>
    <w:rsid w:val="142C79F5"/>
    <w:rsid w:val="143A4196"/>
    <w:rsid w:val="143C3A5C"/>
    <w:rsid w:val="143D0F1C"/>
    <w:rsid w:val="14410D33"/>
    <w:rsid w:val="1448230D"/>
    <w:rsid w:val="144C07BE"/>
    <w:rsid w:val="14587163"/>
    <w:rsid w:val="14592C3A"/>
    <w:rsid w:val="146A5814"/>
    <w:rsid w:val="14740441"/>
    <w:rsid w:val="1474122B"/>
    <w:rsid w:val="147815B3"/>
    <w:rsid w:val="147A17CF"/>
    <w:rsid w:val="147F57B4"/>
    <w:rsid w:val="14864C81"/>
    <w:rsid w:val="149503B7"/>
    <w:rsid w:val="14996598"/>
    <w:rsid w:val="14997EA7"/>
    <w:rsid w:val="149B5DB4"/>
    <w:rsid w:val="14A53CC8"/>
    <w:rsid w:val="14A95C11"/>
    <w:rsid w:val="14B60DBE"/>
    <w:rsid w:val="14BC5C86"/>
    <w:rsid w:val="14BE16BC"/>
    <w:rsid w:val="14C50C9C"/>
    <w:rsid w:val="14D22554"/>
    <w:rsid w:val="14EF0089"/>
    <w:rsid w:val="14F82EE1"/>
    <w:rsid w:val="15086354"/>
    <w:rsid w:val="150C0679"/>
    <w:rsid w:val="150D257F"/>
    <w:rsid w:val="15115F9C"/>
    <w:rsid w:val="15190FE8"/>
    <w:rsid w:val="151C63E2"/>
    <w:rsid w:val="151E2C24"/>
    <w:rsid w:val="15201E96"/>
    <w:rsid w:val="15226F08"/>
    <w:rsid w:val="152B4C23"/>
    <w:rsid w:val="152F25BA"/>
    <w:rsid w:val="1534197E"/>
    <w:rsid w:val="153F1A84"/>
    <w:rsid w:val="15451DDD"/>
    <w:rsid w:val="154E4310"/>
    <w:rsid w:val="154F1E6C"/>
    <w:rsid w:val="155C4A63"/>
    <w:rsid w:val="15613053"/>
    <w:rsid w:val="156B7EDD"/>
    <w:rsid w:val="157103DF"/>
    <w:rsid w:val="157224A6"/>
    <w:rsid w:val="1572418A"/>
    <w:rsid w:val="15725715"/>
    <w:rsid w:val="1580648D"/>
    <w:rsid w:val="15935846"/>
    <w:rsid w:val="15936504"/>
    <w:rsid w:val="159B7C4F"/>
    <w:rsid w:val="159D1E92"/>
    <w:rsid w:val="15A24B3A"/>
    <w:rsid w:val="15A64DD3"/>
    <w:rsid w:val="15A861C9"/>
    <w:rsid w:val="15AD3573"/>
    <w:rsid w:val="15AE1730"/>
    <w:rsid w:val="15C076B6"/>
    <w:rsid w:val="15C36CA0"/>
    <w:rsid w:val="15C97421"/>
    <w:rsid w:val="15CA22E2"/>
    <w:rsid w:val="15CA4620"/>
    <w:rsid w:val="15D21C33"/>
    <w:rsid w:val="15D6003C"/>
    <w:rsid w:val="15D66E83"/>
    <w:rsid w:val="15D867AD"/>
    <w:rsid w:val="15D93D78"/>
    <w:rsid w:val="15D96085"/>
    <w:rsid w:val="15E13516"/>
    <w:rsid w:val="15E94717"/>
    <w:rsid w:val="15F35395"/>
    <w:rsid w:val="15F6517D"/>
    <w:rsid w:val="15FA6724"/>
    <w:rsid w:val="16050D7E"/>
    <w:rsid w:val="1606331B"/>
    <w:rsid w:val="160A437D"/>
    <w:rsid w:val="16111CFE"/>
    <w:rsid w:val="16161E81"/>
    <w:rsid w:val="16195038"/>
    <w:rsid w:val="1629525B"/>
    <w:rsid w:val="16311141"/>
    <w:rsid w:val="16353C00"/>
    <w:rsid w:val="1636260B"/>
    <w:rsid w:val="163C62B5"/>
    <w:rsid w:val="164E566A"/>
    <w:rsid w:val="16585574"/>
    <w:rsid w:val="165B059D"/>
    <w:rsid w:val="16671DA8"/>
    <w:rsid w:val="16674575"/>
    <w:rsid w:val="166B7621"/>
    <w:rsid w:val="166D339A"/>
    <w:rsid w:val="16787D0B"/>
    <w:rsid w:val="167F4E7B"/>
    <w:rsid w:val="168801D3"/>
    <w:rsid w:val="16980066"/>
    <w:rsid w:val="16BB00F6"/>
    <w:rsid w:val="16C71F61"/>
    <w:rsid w:val="16CB00C0"/>
    <w:rsid w:val="16CB0254"/>
    <w:rsid w:val="16F92E7F"/>
    <w:rsid w:val="16FC11E2"/>
    <w:rsid w:val="17192E24"/>
    <w:rsid w:val="171E6FBD"/>
    <w:rsid w:val="172113CF"/>
    <w:rsid w:val="17263CA8"/>
    <w:rsid w:val="1729600A"/>
    <w:rsid w:val="17400AAE"/>
    <w:rsid w:val="174322B7"/>
    <w:rsid w:val="1748628E"/>
    <w:rsid w:val="17544760"/>
    <w:rsid w:val="1758391B"/>
    <w:rsid w:val="17590F27"/>
    <w:rsid w:val="175E2CE2"/>
    <w:rsid w:val="17620B1B"/>
    <w:rsid w:val="176954CE"/>
    <w:rsid w:val="176E561B"/>
    <w:rsid w:val="17726EEA"/>
    <w:rsid w:val="17797B1C"/>
    <w:rsid w:val="17885FB1"/>
    <w:rsid w:val="1791130A"/>
    <w:rsid w:val="17A54DB5"/>
    <w:rsid w:val="17B0110B"/>
    <w:rsid w:val="17B31AF5"/>
    <w:rsid w:val="17B9616B"/>
    <w:rsid w:val="17BC64CA"/>
    <w:rsid w:val="17C36001"/>
    <w:rsid w:val="17D036AF"/>
    <w:rsid w:val="17D55FD6"/>
    <w:rsid w:val="17D66D1D"/>
    <w:rsid w:val="17D80CE7"/>
    <w:rsid w:val="17E80BFF"/>
    <w:rsid w:val="17F15F55"/>
    <w:rsid w:val="17F6116D"/>
    <w:rsid w:val="18024BDD"/>
    <w:rsid w:val="180970F2"/>
    <w:rsid w:val="180E64B6"/>
    <w:rsid w:val="1824575D"/>
    <w:rsid w:val="184E31C2"/>
    <w:rsid w:val="184E71FB"/>
    <w:rsid w:val="18534811"/>
    <w:rsid w:val="18585984"/>
    <w:rsid w:val="18602AE2"/>
    <w:rsid w:val="18707D41"/>
    <w:rsid w:val="187C3404"/>
    <w:rsid w:val="18804FF8"/>
    <w:rsid w:val="18890233"/>
    <w:rsid w:val="188B1AF8"/>
    <w:rsid w:val="18950CE0"/>
    <w:rsid w:val="18B3367A"/>
    <w:rsid w:val="18B40A65"/>
    <w:rsid w:val="18B46DE1"/>
    <w:rsid w:val="18C837EE"/>
    <w:rsid w:val="18D45952"/>
    <w:rsid w:val="18D92F68"/>
    <w:rsid w:val="18E37943"/>
    <w:rsid w:val="18E436BB"/>
    <w:rsid w:val="18F31003"/>
    <w:rsid w:val="18FA4C8D"/>
    <w:rsid w:val="18FC6C57"/>
    <w:rsid w:val="18FF2315"/>
    <w:rsid w:val="18FF7650"/>
    <w:rsid w:val="19120228"/>
    <w:rsid w:val="19184DB2"/>
    <w:rsid w:val="191B71BB"/>
    <w:rsid w:val="19257F5C"/>
    <w:rsid w:val="192B7656"/>
    <w:rsid w:val="19377C8F"/>
    <w:rsid w:val="193C319B"/>
    <w:rsid w:val="19433307"/>
    <w:rsid w:val="19483C4A"/>
    <w:rsid w:val="194B7296"/>
    <w:rsid w:val="194C5F7D"/>
    <w:rsid w:val="195425EF"/>
    <w:rsid w:val="1954439D"/>
    <w:rsid w:val="195E6CFD"/>
    <w:rsid w:val="195E7B03"/>
    <w:rsid w:val="197026C0"/>
    <w:rsid w:val="197723C0"/>
    <w:rsid w:val="198434CD"/>
    <w:rsid w:val="198E59AB"/>
    <w:rsid w:val="199A25AF"/>
    <w:rsid w:val="199E7D0E"/>
    <w:rsid w:val="19B67328"/>
    <w:rsid w:val="19BD0194"/>
    <w:rsid w:val="19C36058"/>
    <w:rsid w:val="19CC03D7"/>
    <w:rsid w:val="19D159ED"/>
    <w:rsid w:val="19D43730"/>
    <w:rsid w:val="19D96F98"/>
    <w:rsid w:val="19E020D4"/>
    <w:rsid w:val="19EA29D6"/>
    <w:rsid w:val="19F416DC"/>
    <w:rsid w:val="1A002777"/>
    <w:rsid w:val="1A0C16BF"/>
    <w:rsid w:val="1A232B04"/>
    <w:rsid w:val="1A3507AD"/>
    <w:rsid w:val="1A497C7A"/>
    <w:rsid w:val="1A562397"/>
    <w:rsid w:val="1A5B5BFF"/>
    <w:rsid w:val="1A5C18CB"/>
    <w:rsid w:val="1A5F124B"/>
    <w:rsid w:val="1A667922"/>
    <w:rsid w:val="1A6E5932"/>
    <w:rsid w:val="1A7B722D"/>
    <w:rsid w:val="1A877CAB"/>
    <w:rsid w:val="1A8C6C9A"/>
    <w:rsid w:val="1A8E20A3"/>
    <w:rsid w:val="1A926C9B"/>
    <w:rsid w:val="1A93116F"/>
    <w:rsid w:val="1AA8473F"/>
    <w:rsid w:val="1AAA71E6"/>
    <w:rsid w:val="1AAC64B1"/>
    <w:rsid w:val="1AAE5E06"/>
    <w:rsid w:val="1AAF41E6"/>
    <w:rsid w:val="1AB1581F"/>
    <w:rsid w:val="1AB33345"/>
    <w:rsid w:val="1AC122E6"/>
    <w:rsid w:val="1AC7718A"/>
    <w:rsid w:val="1AD27C6F"/>
    <w:rsid w:val="1AD335F8"/>
    <w:rsid w:val="1AD7513F"/>
    <w:rsid w:val="1AD82DAC"/>
    <w:rsid w:val="1AD928F8"/>
    <w:rsid w:val="1ADF6628"/>
    <w:rsid w:val="1AEF719A"/>
    <w:rsid w:val="1AF016AE"/>
    <w:rsid w:val="1AF44089"/>
    <w:rsid w:val="1AF6393B"/>
    <w:rsid w:val="1AFA0401"/>
    <w:rsid w:val="1AFA46C7"/>
    <w:rsid w:val="1AFE3EE9"/>
    <w:rsid w:val="1B216501"/>
    <w:rsid w:val="1B2B2D19"/>
    <w:rsid w:val="1B2F50C2"/>
    <w:rsid w:val="1B342463"/>
    <w:rsid w:val="1B391E99"/>
    <w:rsid w:val="1B3B1F4B"/>
    <w:rsid w:val="1B3E70B3"/>
    <w:rsid w:val="1B4204EA"/>
    <w:rsid w:val="1B4A349B"/>
    <w:rsid w:val="1B502893"/>
    <w:rsid w:val="1B59172D"/>
    <w:rsid w:val="1B5A07D1"/>
    <w:rsid w:val="1B634D6B"/>
    <w:rsid w:val="1B6719C1"/>
    <w:rsid w:val="1B6F3710"/>
    <w:rsid w:val="1B701F07"/>
    <w:rsid w:val="1B7327AF"/>
    <w:rsid w:val="1B7763BD"/>
    <w:rsid w:val="1B801FA9"/>
    <w:rsid w:val="1B8C2AC7"/>
    <w:rsid w:val="1B9D37E3"/>
    <w:rsid w:val="1B9F78F7"/>
    <w:rsid w:val="1BA84DA4"/>
    <w:rsid w:val="1BB02A52"/>
    <w:rsid w:val="1BC54FD8"/>
    <w:rsid w:val="1BC82E20"/>
    <w:rsid w:val="1BCD46B0"/>
    <w:rsid w:val="1BCD6688"/>
    <w:rsid w:val="1BD417C5"/>
    <w:rsid w:val="1BD6553D"/>
    <w:rsid w:val="1BD866FE"/>
    <w:rsid w:val="1BE0181E"/>
    <w:rsid w:val="1BE44EAC"/>
    <w:rsid w:val="1BE46717"/>
    <w:rsid w:val="1BF5662D"/>
    <w:rsid w:val="1C090032"/>
    <w:rsid w:val="1C0F1D0E"/>
    <w:rsid w:val="1C127CD4"/>
    <w:rsid w:val="1C151FCA"/>
    <w:rsid w:val="1C1A30DE"/>
    <w:rsid w:val="1C1B464E"/>
    <w:rsid w:val="1C1D1D9C"/>
    <w:rsid w:val="1C1D416F"/>
    <w:rsid w:val="1C225300"/>
    <w:rsid w:val="1C2673D6"/>
    <w:rsid w:val="1C315B4A"/>
    <w:rsid w:val="1C362480"/>
    <w:rsid w:val="1C381D54"/>
    <w:rsid w:val="1C4355C3"/>
    <w:rsid w:val="1C4B669F"/>
    <w:rsid w:val="1C5303FA"/>
    <w:rsid w:val="1C534DE0"/>
    <w:rsid w:val="1C564A95"/>
    <w:rsid w:val="1C5841A4"/>
    <w:rsid w:val="1C5B748E"/>
    <w:rsid w:val="1C5F2782"/>
    <w:rsid w:val="1C6171FC"/>
    <w:rsid w:val="1C6568C1"/>
    <w:rsid w:val="1C737230"/>
    <w:rsid w:val="1C744704"/>
    <w:rsid w:val="1C852ACC"/>
    <w:rsid w:val="1C872CDB"/>
    <w:rsid w:val="1C8A0B80"/>
    <w:rsid w:val="1C8E27E9"/>
    <w:rsid w:val="1C9677EE"/>
    <w:rsid w:val="1C9C6F8C"/>
    <w:rsid w:val="1CAC0483"/>
    <w:rsid w:val="1CB2506D"/>
    <w:rsid w:val="1CBB1806"/>
    <w:rsid w:val="1CC950A2"/>
    <w:rsid w:val="1CD04682"/>
    <w:rsid w:val="1CD824A6"/>
    <w:rsid w:val="1CDF70FE"/>
    <w:rsid w:val="1CF33ECD"/>
    <w:rsid w:val="1CFA5CA4"/>
    <w:rsid w:val="1D0A1CB8"/>
    <w:rsid w:val="1D160DC2"/>
    <w:rsid w:val="1D3648D1"/>
    <w:rsid w:val="1D481E0C"/>
    <w:rsid w:val="1D5D6F8C"/>
    <w:rsid w:val="1D5F77B4"/>
    <w:rsid w:val="1D644DCB"/>
    <w:rsid w:val="1D682E80"/>
    <w:rsid w:val="1D6A760D"/>
    <w:rsid w:val="1D733B41"/>
    <w:rsid w:val="1D76530A"/>
    <w:rsid w:val="1D7D216F"/>
    <w:rsid w:val="1D8A4831"/>
    <w:rsid w:val="1DB754FF"/>
    <w:rsid w:val="1DB82587"/>
    <w:rsid w:val="1DBE757C"/>
    <w:rsid w:val="1DC67833"/>
    <w:rsid w:val="1DC84D43"/>
    <w:rsid w:val="1DCC3714"/>
    <w:rsid w:val="1DCE01C4"/>
    <w:rsid w:val="1DCF66E8"/>
    <w:rsid w:val="1DD819B1"/>
    <w:rsid w:val="1DD939D5"/>
    <w:rsid w:val="1DDA6E3B"/>
    <w:rsid w:val="1DDC5E10"/>
    <w:rsid w:val="1DDF4451"/>
    <w:rsid w:val="1DE21639"/>
    <w:rsid w:val="1DEA565F"/>
    <w:rsid w:val="1DF91FC6"/>
    <w:rsid w:val="1E0565AE"/>
    <w:rsid w:val="1E077405"/>
    <w:rsid w:val="1E171E3D"/>
    <w:rsid w:val="1E190909"/>
    <w:rsid w:val="1E1B7B7F"/>
    <w:rsid w:val="1E2767C8"/>
    <w:rsid w:val="1E285DF8"/>
    <w:rsid w:val="1E290E50"/>
    <w:rsid w:val="1E2C3B3A"/>
    <w:rsid w:val="1E2F7C13"/>
    <w:rsid w:val="1E3843CC"/>
    <w:rsid w:val="1E3B3AD5"/>
    <w:rsid w:val="1E42453F"/>
    <w:rsid w:val="1E4531BB"/>
    <w:rsid w:val="1E48714C"/>
    <w:rsid w:val="1E4A3FC0"/>
    <w:rsid w:val="1E4F7829"/>
    <w:rsid w:val="1E71154D"/>
    <w:rsid w:val="1E7E0FE8"/>
    <w:rsid w:val="1E831176"/>
    <w:rsid w:val="1E896032"/>
    <w:rsid w:val="1E9D67E6"/>
    <w:rsid w:val="1EA158BD"/>
    <w:rsid w:val="1EAD6BA0"/>
    <w:rsid w:val="1EBD4792"/>
    <w:rsid w:val="1EBE453C"/>
    <w:rsid w:val="1EC61592"/>
    <w:rsid w:val="1ED05649"/>
    <w:rsid w:val="1EE61259"/>
    <w:rsid w:val="1EE9492D"/>
    <w:rsid w:val="1EEB3B70"/>
    <w:rsid w:val="1EEF794E"/>
    <w:rsid w:val="1EF46966"/>
    <w:rsid w:val="1EF95974"/>
    <w:rsid w:val="1F022AED"/>
    <w:rsid w:val="1F0D16AC"/>
    <w:rsid w:val="1F0E185C"/>
    <w:rsid w:val="1F145DE7"/>
    <w:rsid w:val="1F21442B"/>
    <w:rsid w:val="1F2F123D"/>
    <w:rsid w:val="1F30529C"/>
    <w:rsid w:val="1F356A1F"/>
    <w:rsid w:val="1F37786A"/>
    <w:rsid w:val="1F38650F"/>
    <w:rsid w:val="1F3A0E20"/>
    <w:rsid w:val="1F3A5A1F"/>
    <w:rsid w:val="1F3E56AC"/>
    <w:rsid w:val="1F4153C3"/>
    <w:rsid w:val="1F433FF0"/>
    <w:rsid w:val="1F4466F6"/>
    <w:rsid w:val="1F4B6242"/>
    <w:rsid w:val="1F507BC9"/>
    <w:rsid w:val="1F520E4C"/>
    <w:rsid w:val="1F5350F7"/>
    <w:rsid w:val="1F54634A"/>
    <w:rsid w:val="1F5F1CED"/>
    <w:rsid w:val="1F680BA2"/>
    <w:rsid w:val="1F6E53CE"/>
    <w:rsid w:val="1F7163FA"/>
    <w:rsid w:val="1F745799"/>
    <w:rsid w:val="1F811C64"/>
    <w:rsid w:val="1F82118F"/>
    <w:rsid w:val="1F84433B"/>
    <w:rsid w:val="1F881D9A"/>
    <w:rsid w:val="1F8865A5"/>
    <w:rsid w:val="1F8C0F6A"/>
    <w:rsid w:val="1F8E76D7"/>
    <w:rsid w:val="1F9005B5"/>
    <w:rsid w:val="1F90634B"/>
    <w:rsid w:val="1FA07F56"/>
    <w:rsid w:val="1FAE266F"/>
    <w:rsid w:val="1FB32A21"/>
    <w:rsid w:val="1FB652F7"/>
    <w:rsid w:val="1FBB66DB"/>
    <w:rsid w:val="1FC50CEB"/>
    <w:rsid w:val="1FCA1A7C"/>
    <w:rsid w:val="1FD402A0"/>
    <w:rsid w:val="1FDD33F0"/>
    <w:rsid w:val="1FE52519"/>
    <w:rsid w:val="1FF836E7"/>
    <w:rsid w:val="20065D2D"/>
    <w:rsid w:val="20073E45"/>
    <w:rsid w:val="200F3AC6"/>
    <w:rsid w:val="200F7F20"/>
    <w:rsid w:val="20144459"/>
    <w:rsid w:val="201856EC"/>
    <w:rsid w:val="202E78E0"/>
    <w:rsid w:val="20401B1F"/>
    <w:rsid w:val="20423987"/>
    <w:rsid w:val="20503FC7"/>
    <w:rsid w:val="20592BE1"/>
    <w:rsid w:val="206E14E1"/>
    <w:rsid w:val="20717B87"/>
    <w:rsid w:val="2073172C"/>
    <w:rsid w:val="20785EEB"/>
    <w:rsid w:val="207B66B3"/>
    <w:rsid w:val="207C0281"/>
    <w:rsid w:val="207D067D"/>
    <w:rsid w:val="2081188A"/>
    <w:rsid w:val="20850611"/>
    <w:rsid w:val="208D7608"/>
    <w:rsid w:val="208E288A"/>
    <w:rsid w:val="208F480B"/>
    <w:rsid w:val="209944A1"/>
    <w:rsid w:val="20A35C0A"/>
    <w:rsid w:val="20B07DE9"/>
    <w:rsid w:val="20C4037B"/>
    <w:rsid w:val="20D14525"/>
    <w:rsid w:val="20D3029D"/>
    <w:rsid w:val="20E26732"/>
    <w:rsid w:val="20E97AC1"/>
    <w:rsid w:val="20F01EE4"/>
    <w:rsid w:val="20FF72E4"/>
    <w:rsid w:val="21071252"/>
    <w:rsid w:val="210B0092"/>
    <w:rsid w:val="21104136"/>
    <w:rsid w:val="211575B2"/>
    <w:rsid w:val="21193D7A"/>
    <w:rsid w:val="211D3C0E"/>
    <w:rsid w:val="212346E1"/>
    <w:rsid w:val="212C65E5"/>
    <w:rsid w:val="213B1D14"/>
    <w:rsid w:val="21447C5E"/>
    <w:rsid w:val="215122AF"/>
    <w:rsid w:val="21532C4A"/>
    <w:rsid w:val="216D5B4C"/>
    <w:rsid w:val="217557F8"/>
    <w:rsid w:val="21787096"/>
    <w:rsid w:val="217A1EA3"/>
    <w:rsid w:val="218C669E"/>
    <w:rsid w:val="218E024A"/>
    <w:rsid w:val="219921D0"/>
    <w:rsid w:val="219A700D"/>
    <w:rsid w:val="21A423E7"/>
    <w:rsid w:val="21A659B2"/>
    <w:rsid w:val="21A91D49"/>
    <w:rsid w:val="21AE1D9C"/>
    <w:rsid w:val="21BA76AF"/>
    <w:rsid w:val="21BE2CFB"/>
    <w:rsid w:val="21C43475"/>
    <w:rsid w:val="21C67E02"/>
    <w:rsid w:val="21C74C05"/>
    <w:rsid w:val="21D538C7"/>
    <w:rsid w:val="21D97A24"/>
    <w:rsid w:val="21DF14FF"/>
    <w:rsid w:val="21E5472C"/>
    <w:rsid w:val="21E550DB"/>
    <w:rsid w:val="21E55B0A"/>
    <w:rsid w:val="21F11323"/>
    <w:rsid w:val="22054D78"/>
    <w:rsid w:val="2206311B"/>
    <w:rsid w:val="22121299"/>
    <w:rsid w:val="22151BAC"/>
    <w:rsid w:val="2221328A"/>
    <w:rsid w:val="222334A6"/>
    <w:rsid w:val="222F18FC"/>
    <w:rsid w:val="222F7CD5"/>
    <w:rsid w:val="22342FBD"/>
    <w:rsid w:val="224F1710"/>
    <w:rsid w:val="22561186"/>
    <w:rsid w:val="22575A13"/>
    <w:rsid w:val="225E628C"/>
    <w:rsid w:val="226D3868"/>
    <w:rsid w:val="22705CE0"/>
    <w:rsid w:val="22722A08"/>
    <w:rsid w:val="2274785E"/>
    <w:rsid w:val="227C6712"/>
    <w:rsid w:val="228A277F"/>
    <w:rsid w:val="228F28EA"/>
    <w:rsid w:val="22905CE4"/>
    <w:rsid w:val="22933790"/>
    <w:rsid w:val="229903FF"/>
    <w:rsid w:val="22AC524A"/>
    <w:rsid w:val="22AC6FF8"/>
    <w:rsid w:val="22B20386"/>
    <w:rsid w:val="22BE122B"/>
    <w:rsid w:val="22CF3D76"/>
    <w:rsid w:val="22DC043E"/>
    <w:rsid w:val="22E52A05"/>
    <w:rsid w:val="22E876ED"/>
    <w:rsid w:val="22F77E40"/>
    <w:rsid w:val="22FB1D2D"/>
    <w:rsid w:val="230450F2"/>
    <w:rsid w:val="230B28CF"/>
    <w:rsid w:val="231335F3"/>
    <w:rsid w:val="23152DEF"/>
    <w:rsid w:val="2315783A"/>
    <w:rsid w:val="23240733"/>
    <w:rsid w:val="23290648"/>
    <w:rsid w:val="233C5D1E"/>
    <w:rsid w:val="23401E50"/>
    <w:rsid w:val="234F5BD5"/>
    <w:rsid w:val="23512967"/>
    <w:rsid w:val="235356C5"/>
    <w:rsid w:val="235A2EF8"/>
    <w:rsid w:val="235F7B41"/>
    <w:rsid w:val="23655E69"/>
    <w:rsid w:val="236F371E"/>
    <w:rsid w:val="2375388E"/>
    <w:rsid w:val="23766706"/>
    <w:rsid w:val="237F6CC4"/>
    <w:rsid w:val="23843AD1"/>
    <w:rsid w:val="238C6965"/>
    <w:rsid w:val="238D7093"/>
    <w:rsid w:val="2391077E"/>
    <w:rsid w:val="2393640A"/>
    <w:rsid w:val="23942C7F"/>
    <w:rsid w:val="239D0DA6"/>
    <w:rsid w:val="23A000EE"/>
    <w:rsid w:val="23A12FCD"/>
    <w:rsid w:val="23B24AE2"/>
    <w:rsid w:val="23B60887"/>
    <w:rsid w:val="23C41510"/>
    <w:rsid w:val="23E17175"/>
    <w:rsid w:val="23E40A13"/>
    <w:rsid w:val="23E427C1"/>
    <w:rsid w:val="23EA6B2E"/>
    <w:rsid w:val="23F22CFD"/>
    <w:rsid w:val="23F27D7B"/>
    <w:rsid w:val="23F66C7F"/>
    <w:rsid w:val="23FB2D2D"/>
    <w:rsid w:val="24011DA8"/>
    <w:rsid w:val="240F5A90"/>
    <w:rsid w:val="24174590"/>
    <w:rsid w:val="24174945"/>
    <w:rsid w:val="24187D83"/>
    <w:rsid w:val="24211BBE"/>
    <w:rsid w:val="243954AE"/>
    <w:rsid w:val="243F035C"/>
    <w:rsid w:val="243F3E9B"/>
    <w:rsid w:val="244401DE"/>
    <w:rsid w:val="244860B9"/>
    <w:rsid w:val="244945FE"/>
    <w:rsid w:val="2452597D"/>
    <w:rsid w:val="245416F5"/>
    <w:rsid w:val="24681644"/>
    <w:rsid w:val="246979BF"/>
    <w:rsid w:val="247104F9"/>
    <w:rsid w:val="24760458"/>
    <w:rsid w:val="24812BFA"/>
    <w:rsid w:val="24874967"/>
    <w:rsid w:val="248A3369"/>
    <w:rsid w:val="24942F84"/>
    <w:rsid w:val="24997A50"/>
    <w:rsid w:val="24A25710"/>
    <w:rsid w:val="24BB755C"/>
    <w:rsid w:val="24C426A7"/>
    <w:rsid w:val="24C50845"/>
    <w:rsid w:val="24CA70D0"/>
    <w:rsid w:val="24CC12D6"/>
    <w:rsid w:val="24CF6FCD"/>
    <w:rsid w:val="24D90223"/>
    <w:rsid w:val="24DC02E5"/>
    <w:rsid w:val="24E54A43"/>
    <w:rsid w:val="24EE7058"/>
    <w:rsid w:val="24F20F0E"/>
    <w:rsid w:val="24F2250B"/>
    <w:rsid w:val="24FD3B3B"/>
    <w:rsid w:val="250550E5"/>
    <w:rsid w:val="250D79E1"/>
    <w:rsid w:val="25156CD6"/>
    <w:rsid w:val="252235A1"/>
    <w:rsid w:val="252C232F"/>
    <w:rsid w:val="253A6130"/>
    <w:rsid w:val="253F7433"/>
    <w:rsid w:val="255B556F"/>
    <w:rsid w:val="255E782B"/>
    <w:rsid w:val="256A4F48"/>
    <w:rsid w:val="256B75E7"/>
    <w:rsid w:val="25861D82"/>
    <w:rsid w:val="258C3110"/>
    <w:rsid w:val="258E50DA"/>
    <w:rsid w:val="2593449F"/>
    <w:rsid w:val="25956469"/>
    <w:rsid w:val="259F4D02"/>
    <w:rsid w:val="25A20B86"/>
    <w:rsid w:val="25A95A70"/>
    <w:rsid w:val="25C2583D"/>
    <w:rsid w:val="25C64874"/>
    <w:rsid w:val="25C66622"/>
    <w:rsid w:val="25CE3729"/>
    <w:rsid w:val="25D02FFD"/>
    <w:rsid w:val="25D31368"/>
    <w:rsid w:val="25DD708B"/>
    <w:rsid w:val="25E1345C"/>
    <w:rsid w:val="25ED0053"/>
    <w:rsid w:val="25F018F1"/>
    <w:rsid w:val="25F623DD"/>
    <w:rsid w:val="25F82554"/>
    <w:rsid w:val="25FC7D9C"/>
    <w:rsid w:val="25FE147E"/>
    <w:rsid w:val="26045CA6"/>
    <w:rsid w:val="26062EC3"/>
    <w:rsid w:val="26140437"/>
    <w:rsid w:val="262E7703"/>
    <w:rsid w:val="26350999"/>
    <w:rsid w:val="26351286"/>
    <w:rsid w:val="263F63D5"/>
    <w:rsid w:val="264A1001"/>
    <w:rsid w:val="264A5903"/>
    <w:rsid w:val="264B2FCC"/>
    <w:rsid w:val="264F5A51"/>
    <w:rsid w:val="265956E8"/>
    <w:rsid w:val="26646817"/>
    <w:rsid w:val="26695200"/>
    <w:rsid w:val="26780E3F"/>
    <w:rsid w:val="267D54CC"/>
    <w:rsid w:val="267E6EFD"/>
    <w:rsid w:val="268E321D"/>
    <w:rsid w:val="26946721"/>
    <w:rsid w:val="26AE475D"/>
    <w:rsid w:val="26CC670E"/>
    <w:rsid w:val="26E40080"/>
    <w:rsid w:val="26E52C25"/>
    <w:rsid w:val="26F251F5"/>
    <w:rsid w:val="26F31699"/>
    <w:rsid w:val="26FA10C5"/>
    <w:rsid w:val="26FB1DC3"/>
    <w:rsid w:val="26FB22FC"/>
    <w:rsid w:val="26FF4645"/>
    <w:rsid w:val="27005B64"/>
    <w:rsid w:val="27052F1F"/>
    <w:rsid w:val="271909D4"/>
    <w:rsid w:val="272177EE"/>
    <w:rsid w:val="2726500C"/>
    <w:rsid w:val="272C6D76"/>
    <w:rsid w:val="272E2089"/>
    <w:rsid w:val="272F45BD"/>
    <w:rsid w:val="273071B2"/>
    <w:rsid w:val="274A2538"/>
    <w:rsid w:val="274D4AB9"/>
    <w:rsid w:val="27543BE9"/>
    <w:rsid w:val="27595DF6"/>
    <w:rsid w:val="27606603"/>
    <w:rsid w:val="27675BE3"/>
    <w:rsid w:val="2775393A"/>
    <w:rsid w:val="278906CB"/>
    <w:rsid w:val="27AC7A9A"/>
    <w:rsid w:val="27AD1ED7"/>
    <w:rsid w:val="27B16DD6"/>
    <w:rsid w:val="27B57447"/>
    <w:rsid w:val="27BA5CA5"/>
    <w:rsid w:val="27C30750"/>
    <w:rsid w:val="27C7260C"/>
    <w:rsid w:val="27D52B4D"/>
    <w:rsid w:val="27DB0475"/>
    <w:rsid w:val="27DF2E7F"/>
    <w:rsid w:val="27F112DF"/>
    <w:rsid w:val="28011B94"/>
    <w:rsid w:val="280A51B8"/>
    <w:rsid w:val="28100805"/>
    <w:rsid w:val="28144BBB"/>
    <w:rsid w:val="283A6E54"/>
    <w:rsid w:val="284F09D3"/>
    <w:rsid w:val="2852419D"/>
    <w:rsid w:val="285F1974"/>
    <w:rsid w:val="28687E65"/>
    <w:rsid w:val="28697739"/>
    <w:rsid w:val="286A598B"/>
    <w:rsid w:val="289D5D8D"/>
    <w:rsid w:val="289F1D1F"/>
    <w:rsid w:val="28A349F9"/>
    <w:rsid w:val="28A569C3"/>
    <w:rsid w:val="28A814E4"/>
    <w:rsid w:val="28A95D87"/>
    <w:rsid w:val="28B077CF"/>
    <w:rsid w:val="28B135BA"/>
    <w:rsid w:val="28B22E8E"/>
    <w:rsid w:val="28B6775F"/>
    <w:rsid w:val="28BA4E69"/>
    <w:rsid w:val="28BA6ED0"/>
    <w:rsid w:val="28BE7A85"/>
    <w:rsid w:val="28C8010E"/>
    <w:rsid w:val="28CC2D80"/>
    <w:rsid w:val="28DA23BF"/>
    <w:rsid w:val="28E514B5"/>
    <w:rsid w:val="28F747BD"/>
    <w:rsid w:val="28FC6084"/>
    <w:rsid w:val="28FE4325"/>
    <w:rsid w:val="28FE744C"/>
    <w:rsid w:val="29007871"/>
    <w:rsid w:val="29007ED0"/>
    <w:rsid w:val="290142EC"/>
    <w:rsid w:val="29051210"/>
    <w:rsid w:val="29114058"/>
    <w:rsid w:val="29155766"/>
    <w:rsid w:val="29177195"/>
    <w:rsid w:val="29225779"/>
    <w:rsid w:val="2925469F"/>
    <w:rsid w:val="29355A4B"/>
    <w:rsid w:val="29455AB0"/>
    <w:rsid w:val="29471828"/>
    <w:rsid w:val="294837F2"/>
    <w:rsid w:val="29491A44"/>
    <w:rsid w:val="294E3480"/>
    <w:rsid w:val="295B5E6E"/>
    <w:rsid w:val="296F0D7F"/>
    <w:rsid w:val="29763B66"/>
    <w:rsid w:val="29862285"/>
    <w:rsid w:val="299042CD"/>
    <w:rsid w:val="29910CF5"/>
    <w:rsid w:val="2992337C"/>
    <w:rsid w:val="2996150C"/>
    <w:rsid w:val="299627B0"/>
    <w:rsid w:val="29996B12"/>
    <w:rsid w:val="299D3B3E"/>
    <w:rsid w:val="299E7695"/>
    <w:rsid w:val="299F32E7"/>
    <w:rsid w:val="29A0362E"/>
    <w:rsid w:val="29A86643"/>
    <w:rsid w:val="29AC570A"/>
    <w:rsid w:val="29AE3C8C"/>
    <w:rsid w:val="29B56FBB"/>
    <w:rsid w:val="29C62C38"/>
    <w:rsid w:val="29C76E0D"/>
    <w:rsid w:val="29E7300B"/>
    <w:rsid w:val="29F56EA0"/>
    <w:rsid w:val="29F9066F"/>
    <w:rsid w:val="29FD1CAF"/>
    <w:rsid w:val="29FE7B47"/>
    <w:rsid w:val="2A04596B"/>
    <w:rsid w:val="2A176A9D"/>
    <w:rsid w:val="2A1B37AD"/>
    <w:rsid w:val="2A200C29"/>
    <w:rsid w:val="2A232489"/>
    <w:rsid w:val="2A33679F"/>
    <w:rsid w:val="2A374B7A"/>
    <w:rsid w:val="2A3A04EA"/>
    <w:rsid w:val="2A41096B"/>
    <w:rsid w:val="2A442188"/>
    <w:rsid w:val="2A4E73CE"/>
    <w:rsid w:val="2A510485"/>
    <w:rsid w:val="2A684396"/>
    <w:rsid w:val="2A8D3BB3"/>
    <w:rsid w:val="2A944F41"/>
    <w:rsid w:val="2A9524AC"/>
    <w:rsid w:val="2A9767DF"/>
    <w:rsid w:val="2A9C5BA4"/>
    <w:rsid w:val="2A9C76E5"/>
    <w:rsid w:val="2AB729DE"/>
    <w:rsid w:val="2AC11AAE"/>
    <w:rsid w:val="2AC731F1"/>
    <w:rsid w:val="2ACA5BDE"/>
    <w:rsid w:val="2AD03A9F"/>
    <w:rsid w:val="2AD510B6"/>
    <w:rsid w:val="2AE00186"/>
    <w:rsid w:val="2AE229A1"/>
    <w:rsid w:val="2AE62978"/>
    <w:rsid w:val="2AF11C23"/>
    <w:rsid w:val="2AF43C32"/>
    <w:rsid w:val="2AF82E05"/>
    <w:rsid w:val="2AF92FF6"/>
    <w:rsid w:val="2AFB4FC0"/>
    <w:rsid w:val="2AFD492E"/>
    <w:rsid w:val="2AFE384E"/>
    <w:rsid w:val="2B012684"/>
    <w:rsid w:val="2B0674C1"/>
    <w:rsid w:val="2B2C4892"/>
    <w:rsid w:val="2B2C5607"/>
    <w:rsid w:val="2B301E37"/>
    <w:rsid w:val="2B3210A7"/>
    <w:rsid w:val="2B4F539C"/>
    <w:rsid w:val="2B6B61CB"/>
    <w:rsid w:val="2B6C37C8"/>
    <w:rsid w:val="2B893148"/>
    <w:rsid w:val="2B8C7017"/>
    <w:rsid w:val="2B9544BB"/>
    <w:rsid w:val="2B960845"/>
    <w:rsid w:val="2B9865C3"/>
    <w:rsid w:val="2B996587"/>
    <w:rsid w:val="2BA06B19"/>
    <w:rsid w:val="2BA56CDA"/>
    <w:rsid w:val="2BAD0238"/>
    <w:rsid w:val="2BB10173"/>
    <w:rsid w:val="2BB2546D"/>
    <w:rsid w:val="2BBC4A76"/>
    <w:rsid w:val="2BC664A8"/>
    <w:rsid w:val="2BCA6741"/>
    <w:rsid w:val="2BCB4D48"/>
    <w:rsid w:val="2BD650E5"/>
    <w:rsid w:val="2BDA76B4"/>
    <w:rsid w:val="2BDD6474"/>
    <w:rsid w:val="2BDE4BA2"/>
    <w:rsid w:val="2BEE242F"/>
    <w:rsid w:val="2BEE68D3"/>
    <w:rsid w:val="2BF0005B"/>
    <w:rsid w:val="2BF92EB8"/>
    <w:rsid w:val="2BFC0B28"/>
    <w:rsid w:val="2C153E60"/>
    <w:rsid w:val="2C1D4AC2"/>
    <w:rsid w:val="2C26606D"/>
    <w:rsid w:val="2C2C2F57"/>
    <w:rsid w:val="2C304B00"/>
    <w:rsid w:val="2C3266E3"/>
    <w:rsid w:val="2C351A9B"/>
    <w:rsid w:val="2C373B55"/>
    <w:rsid w:val="2C3B13EC"/>
    <w:rsid w:val="2C477D91"/>
    <w:rsid w:val="2C525562"/>
    <w:rsid w:val="2C640943"/>
    <w:rsid w:val="2C673F8F"/>
    <w:rsid w:val="2C7212D9"/>
    <w:rsid w:val="2C730B86"/>
    <w:rsid w:val="2C756A49"/>
    <w:rsid w:val="2C840FE5"/>
    <w:rsid w:val="2C8E776E"/>
    <w:rsid w:val="2C931228"/>
    <w:rsid w:val="2C956D4E"/>
    <w:rsid w:val="2CA84CD4"/>
    <w:rsid w:val="2CB77C44"/>
    <w:rsid w:val="2CBF3DCB"/>
    <w:rsid w:val="2CC018D7"/>
    <w:rsid w:val="2CC0621B"/>
    <w:rsid w:val="2CC3459C"/>
    <w:rsid w:val="2CC60381"/>
    <w:rsid w:val="2CCF07CD"/>
    <w:rsid w:val="2CD71115"/>
    <w:rsid w:val="2CD773C4"/>
    <w:rsid w:val="2CDA0C05"/>
    <w:rsid w:val="2D08088B"/>
    <w:rsid w:val="2D0E1728"/>
    <w:rsid w:val="2D1514A9"/>
    <w:rsid w:val="2D1A2EEE"/>
    <w:rsid w:val="2D1C7FC2"/>
    <w:rsid w:val="2D200DC0"/>
    <w:rsid w:val="2D265BF9"/>
    <w:rsid w:val="2D2F248C"/>
    <w:rsid w:val="2D5704A8"/>
    <w:rsid w:val="2D5A2DE6"/>
    <w:rsid w:val="2D5A6A70"/>
    <w:rsid w:val="2D5B5FD2"/>
    <w:rsid w:val="2D5E5392"/>
    <w:rsid w:val="2D614E83"/>
    <w:rsid w:val="2D6C352C"/>
    <w:rsid w:val="2D712DFF"/>
    <w:rsid w:val="2D7B347B"/>
    <w:rsid w:val="2D7F400A"/>
    <w:rsid w:val="2D8748E9"/>
    <w:rsid w:val="2D947006"/>
    <w:rsid w:val="2D96306F"/>
    <w:rsid w:val="2D984D48"/>
    <w:rsid w:val="2DA472F3"/>
    <w:rsid w:val="2DAC780B"/>
    <w:rsid w:val="2DBE22D5"/>
    <w:rsid w:val="2DC53663"/>
    <w:rsid w:val="2DD24BB5"/>
    <w:rsid w:val="2DEB4301"/>
    <w:rsid w:val="2DFD4BAB"/>
    <w:rsid w:val="2E063F40"/>
    <w:rsid w:val="2E0D0E2F"/>
    <w:rsid w:val="2E0F023D"/>
    <w:rsid w:val="2E204D3E"/>
    <w:rsid w:val="2E3305CD"/>
    <w:rsid w:val="2E4D49E9"/>
    <w:rsid w:val="2E580760"/>
    <w:rsid w:val="2E6764C9"/>
    <w:rsid w:val="2E701821"/>
    <w:rsid w:val="2E7300E2"/>
    <w:rsid w:val="2E7B6CC4"/>
    <w:rsid w:val="2E7E4C4B"/>
    <w:rsid w:val="2E820C82"/>
    <w:rsid w:val="2E8D7FC9"/>
    <w:rsid w:val="2E8F3AE0"/>
    <w:rsid w:val="2E9037C2"/>
    <w:rsid w:val="2E960B5C"/>
    <w:rsid w:val="2E9F3739"/>
    <w:rsid w:val="2EB02033"/>
    <w:rsid w:val="2EB45BB2"/>
    <w:rsid w:val="2EB77450"/>
    <w:rsid w:val="2EBC013F"/>
    <w:rsid w:val="2ED022C0"/>
    <w:rsid w:val="2ED9033E"/>
    <w:rsid w:val="2EDF2503"/>
    <w:rsid w:val="2EF25B3B"/>
    <w:rsid w:val="2F006FCA"/>
    <w:rsid w:val="2F1A79DF"/>
    <w:rsid w:val="2F2B24EB"/>
    <w:rsid w:val="2F2D7712"/>
    <w:rsid w:val="2F326AD7"/>
    <w:rsid w:val="2F332CC8"/>
    <w:rsid w:val="2F390A59"/>
    <w:rsid w:val="2F4047CA"/>
    <w:rsid w:val="2F496D12"/>
    <w:rsid w:val="2F57653D"/>
    <w:rsid w:val="2F5B0D96"/>
    <w:rsid w:val="2F5D3ABE"/>
    <w:rsid w:val="2F6871B4"/>
    <w:rsid w:val="2F6F1AD9"/>
    <w:rsid w:val="2F762A71"/>
    <w:rsid w:val="2F8310E0"/>
    <w:rsid w:val="2F847A02"/>
    <w:rsid w:val="2F876999"/>
    <w:rsid w:val="2F8B146B"/>
    <w:rsid w:val="2F9257C7"/>
    <w:rsid w:val="2FA83E54"/>
    <w:rsid w:val="2FAD1DFD"/>
    <w:rsid w:val="2FAE4BFD"/>
    <w:rsid w:val="2FB43990"/>
    <w:rsid w:val="2FB614B6"/>
    <w:rsid w:val="2FC54CF8"/>
    <w:rsid w:val="2FCC417F"/>
    <w:rsid w:val="2FD25A98"/>
    <w:rsid w:val="2FD45DE0"/>
    <w:rsid w:val="2FD61F01"/>
    <w:rsid w:val="2FDB53C0"/>
    <w:rsid w:val="2FDD2EE6"/>
    <w:rsid w:val="2FE02489"/>
    <w:rsid w:val="2FE50C84"/>
    <w:rsid w:val="2FED6867"/>
    <w:rsid w:val="2FED7510"/>
    <w:rsid w:val="30030473"/>
    <w:rsid w:val="301B56BA"/>
    <w:rsid w:val="301F33B3"/>
    <w:rsid w:val="30363B64"/>
    <w:rsid w:val="30372F8F"/>
    <w:rsid w:val="30466CDD"/>
    <w:rsid w:val="304B1458"/>
    <w:rsid w:val="304E7940"/>
    <w:rsid w:val="30526A6B"/>
    <w:rsid w:val="30687F88"/>
    <w:rsid w:val="30731155"/>
    <w:rsid w:val="3075023E"/>
    <w:rsid w:val="308405B2"/>
    <w:rsid w:val="308B2942"/>
    <w:rsid w:val="308C214D"/>
    <w:rsid w:val="308D49EB"/>
    <w:rsid w:val="309A2B85"/>
    <w:rsid w:val="30A07E54"/>
    <w:rsid w:val="30B50BEA"/>
    <w:rsid w:val="30C377E2"/>
    <w:rsid w:val="30CC1916"/>
    <w:rsid w:val="30DF2942"/>
    <w:rsid w:val="30DF7EA5"/>
    <w:rsid w:val="30E3277E"/>
    <w:rsid w:val="3104653D"/>
    <w:rsid w:val="31102E48"/>
    <w:rsid w:val="31153F26"/>
    <w:rsid w:val="31231CE1"/>
    <w:rsid w:val="312A2CBC"/>
    <w:rsid w:val="313A6E70"/>
    <w:rsid w:val="314B2F95"/>
    <w:rsid w:val="316B2774"/>
    <w:rsid w:val="316F4012"/>
    <w:rsid w:val="31723CCE"/>
    <w:rsid w:val="3175714F"/>
    <w:rsid w:val="31757990"/>
    <w:rsid w:val="318139F5"/>
    <w:rsid w:val="31973569"/>
    <w:rsid w:val="31C00DBD"/>
    <w:rsid w:val="31CD0DE5"/>
    <w:rsid w:val="31CF43A4"/>
    <w:rsid w:val="31DE2F46"/>
    <w:rsid w:val="31EE29AC"/>
    <w:rsid w:val="31F6203D"/>
    <w:rsid w:val="3203475A"/>
    <w:rsid w:val="320F1351"/>
    <w:rsid w:val="320F4EAD"/>
    <w:rsid w:val="32115172"/>
    <w:rsid w:val="32134DB6"/>
    <w:rsid w:val="32284196"/>
    <w:rsid w:val="32382656"/>
    <w:rsid w:val="323B03C3"/>
    <w:rsid w:val="32451270"/>
    <w:rsid w:val="324E532B"/>
    <w:rsid w:val="32503684"/>
    <w:rsid w:val="32582CF8"/>
    <w:rsid w:val="325B6344"/>
    <w:rsid w:val="325E4C4C"/>
    <w:rsid w:val="3265088A"/>
    <w:rsid w:val="32743916"/>
    <w:rsid w:val="3282100D"/>
    <w:rsid w:val="3289460C"/>
    <w:rsid w:val="329266DD"/>
    <w:rsid w:val="329476DE"/>
    <w:rsid w:val="329B1112"/>
    <w:rsid w:val="32A23F73"/>
    <w:rsid w:val="32AF2C9B"/>
    <w:rsid w:val="32B617CD"/>
    <w:rsid w:val="32B7334E"/>
    <w:rsid w:val="32B95704"/>
    <w:rsid w:val="32BA306B"/>
    <w:rsid w:val="32C57C62"/>
    <w:rsid w:val="32C65A6B"/>
    <w:rsid w:val="32C72463"/>
    <w:rsid w:val="32CC03D3"/>
    <w:rsid w:val="32D4413C"/>
    <w:rsid w:val="32E815EB"/>
    <w:rsid w:val="32E911BF"/>
    <w:rsid w:val="32E97EEA"/>
    <w:rsid w:val="32EE540A"/>
    <w:rsid w:val="32F66AEE"/>
    <w:rsid w:val="32FA2EFD"/>
    <w:rsid w:val="32FD15C1"/>
    <w:rsid w:val="33093FF2"/>
    <w:rsid w:val="330E231E"/>
    <w:rsid w:val="33214374"/>
    <w:rsid w:val="333033CE"/>
    <w:rsid w:val="334206A1"/>
    <w:rsid w:val="334311DB"/>
    <w:rsid w:val="3359197A"/>
    <w:rsid w:val="33646B49"/>
    <w:rsid w:val="33945FB2"/>
    <w:rsid w:val="339D74F7"/>
    <w:rsid w:val="33BB60DF"/>
    <w:rsid w:val="33C06DA7"/>
    <w:rsid w:val="33C57F19"/>
    <w:rsid w:val="33C62446"/>
    <w:rsid w:val="33CD6DCE"/>
    <w:rsid w:val="33CF02EA"/>
    <w:rsid w:val="33DC4092"/>
    <w:rsid w:val="33E97432"/>
    <w:rsid w:val="33EE2409"/>
    <w:rsid w:val="33FB5112"/>
    <w:rsid w:val="33FE0043"/>
    <w:rsid w:val="34036C94"/>
    <w:rsid w:val="340B240B"/>
    <w:rsid w:val="34133546"/>
    <w:rsid w:val="342015F4"/>
    <w:rsid w:val="34246A7C"/>
    <w:rsid w:val="342E0004"/>
    <w:rsid w:val="34301529"/>
    <w:rsid w:val="34422F54"/>
    <w:rsid w:val="34452E08"/>
    <w:rsid w:val="3454129D"/>
    <w:rsid w:val="34590C2B"/>
    <w:rsid w:val="346D6337"/>
    <w:rsid w:val="34713BFD"/>
    <w:rsid w:val="34726C94"/>
    <w:rsid w:val="34732F0D"/>
    <w:rsid w:val="347D59AD"/>
    <w:rsid w:val="347F2F5D"/>
    <w:rsid w:val="348C1EB6"/>
    <w:rsid w:val="348C5EF5"/>
    <w:rsid w:val="34923186"/>
    <w:rsid w:val="349677C7"/>
    <w:rsid w:val="34A246FE"/>
    <w:rsid w:val="34AF7EF1"/>
    <w:rsid w:val="34BB14E1"/>
    <w:rsid w:val="34C15B3C"/>
    <w:rsid w:val="34C224E4"/>
    <w:rsid w:val="34C75F13"/>
    <w:rsid w:val="34D16D92"/>
    <w:rsid w:val="34F05267"/>
    <w:rsid w:val="34F20CFA"/>
    <w:rsid w:val="34F32864"/>
    <w:rsid w:val="35004F81"/>
    <w:rsid w:val="350125F1"/>
    <w:rsid w:val="35125F65"/>
    <w:rsid w:val="35134CB4"/>
    <w:rsid w:val="351A5D5E"/>
    <w:rsid w:val="351C1CD3"/>
    <w:rsid w:val="352B2E1A"/>
    <w:rsid w:val="352D221A"/>
    <w:rsid w:val="353912E1"/>
    <w:rsid w:val="353F3CFB"/>
    <w:rsid w:val="35410E30"/>
    <w:rsid w:val="354579DE"/>
    <w:rsid w:val="355513CD"/>
    <w:rsid w:val="35584DBD"/>
    <w:rsid w:val="35614329"/>
    <w:rsid w:val="35647C06"/>
    <w:rsid w:val="35752020"/>
    <w:rsid w:val="35827E2D"/>
    <w:rsid w:val="358A42A9"/>
    <w:rsid w:val="35A0745C"/>
    <w:rsid w:val="35AB1391"/>
    <w:rsid w:val="35BC70FA"/>
    <w:rsid w:val="35C366DA"/>
    <w:rsid w:val="35EE3728"/>
    <w:rsid w:val="36090BE2"/>
    <w:rsid w:val="360A0DCE"/>
    <w:rsid w:val="360B1C9B"/>
    <w:rsid w:val="36105698"/>
    <w:rsid w:val="361508C3"/>
    <w:rsid w:val="36154A5C"/>
    <w:rsid w:val="361C403D"/>
    <w:rsid w:val="361C5DEB"/>
    <w:rsid w:val="36273A16"/>
    <w:rsid w:val="362956AE"/>
    <w:rsid w:val="36323860"/>
    <w:rsid w:val="36495FFD"/>
    <w:rsid w:val="364D4E53"/>
    <w:rsid w:val="364F4A5F"/>
    <w:rsid w:val="36513CE6"/>
    <w:rsid w:val="36546526"/>
    <w:rsid w:val="36592B9B"/>
    <w:rsid w:val="365D08DD"/>
    <w:rsid w:val="365D3F21"/>
    <w:rsid w:val="366A2FFA"/>
    <w:rsid w:val="36725D55"/>
    <w:rsid w:val="36752668"/>
    <w:rsid w:val="36792A4E"/>
    <w:rsid w:val="368A13BB"/>
    <w:rsid w:val="369017BB"/>
    <w:rsid w:val="36962041"/>
    <w:rsid w:val="36B75BD4"/>
    <w:rsid w:val="36BA5CBF"/>
    <w:rsid w:val="36D30B9F"/>
    <w:rsid w:val="36DB2654"/>
    <w:rsid w:val="36E25286"/>
    <w:rsid w:val="36F87E3A"/>
    <w:rsid w:val="36FA5B55"/>
    <w:rsid w:val="36FC700C"/>
    <w:rsid w:val="37027084"/>
    <w:rsid w:val="370B2020"/>
    <w:rsid w:val="37144D14"/>
    <w:rsid w:val="37183DF8"/>
    <w:rsid w:val="372633C5"/>
    <w:rsid w:val="373225C2"/>
    <w:rsid w:val="37465C88"/>
    <w:rsid w:val="374B2E2B"/>
    <w:rsid w:val="37527F2A"/>
    <w:rsid w:val="375C0A42"/>
    <w:rsid w:val="37764687"/>
    <w:rsid w:val="37817F08"/>
    <w:rsid w:val="37820C94"/>
    <w:rsid w:val="37936580"/>
    <w:rsid w:val="37963435"/>
    <w:rsid w:val="37BA258E"/>
    <w:rsid w:val="37C21F32"/>
    <w:rsid w:val="37C32DEF"/>
    <w:rsid w:val="37C4498C"/>
    <w:rsid w:val="37C61DAB"/>
    <w:rsid w:val="37E16AD4"/>
    <w:rsid w:val="37E172EC"/>
    <w:rsid w:val="37EC78BE"/>
    <w:rsid w:val="37EF7C5B"/>
    <w:rsid w:val="37F065A7"/>
    <w:rsid w:val="37F82C04"/>
    <w:rsid w:val="37FF6F1E"/>
    <w:rsid w:val="380354B4"/>
    <w:rsid w:val="380446A7"/>
    <w:rsid w:val="381041CF"/>
    <w:rsid w:val="381237CF"/>
    <w:rsid w:val="381256F7"/>
    <w:rsid w:val="38172D0E"/>
    <w:rsid w:val="38174ABC"/>
    <w:rsid w:val="381A56B1"/>
    <w:rsid w:val="381A7B81"/>
    <w:rsid w:val="381C47C8"/>
    <w:rsid w:val="381F749E"/>
    <w:rsid w:val="382471D8"/>
    <w:rsid w:val="382673F4"/>
    <w:rsid w:val="384C1FD4"/>
    <w:rsid w:val="384D08CE"/>
    <w:rsid w:val="386115E2"/>
    <w:rsid w:val="38613F89"/>
    <w:rsid w:val="38635F53"/>
    <w:rsid w:val="386D6DB8"/>
    <w:rsid w:val="386F122B"/>
    <w:rsid w:val="387162D2"/>
    <w:rsid w:val="38824691"/>
    <w:rsid w:val="38857D94"/>
    <w:rsid w:val="388D1222"/>
    <w:rsid w:val="38985929"/>
    <w:rsid w:val="389A2AB0"/>
    <w:rsid w:val="389A677F"/>
    <w:rsid w:val="38A30362"/>
    <w:rsid w:val="38A81BB8"/>
    <w:rsid w:val="38AB1489"/>
    <w:rsid w:val="38B13DCD"/>
    <w:rsid w:val="38D3769A"/>
    <w:rsid w:val="38DD5D05"/>
    <w:rsid w:val="38E3693E"/>
    <w:rsid w:val="38E535D4"/>
    <w:rsid w:val="38E74EB5"/>
    <w:rsid w:val="38EE3DC0"/>
    <w:rsid w:val="38F66133"/>
    <w:rsid w:val="38FC7A92"/>
    <w:rsid w:val="39007C46"/>
    <w:rsid w:val="39094CCC"/>
    <w:rsid w:val="390B0DAB"/>
    <w:rsid w:val="39137979"/>
    <w:rsid w:val="391D07F7"/>
    <w:rsid w:val="39227BBC"/>
    <w:rsid w:val="392A2847"/>
    <w:rsid w:val="392C4EA5"/>
    <w:rsid w:val="393F43BF"/>
    <w:rsid w:val="394E275F"/>
    <w:rsid w:val="39565AB7"/>
    <w:rsid w:val="39665CFB"/>
    <w:rsid w:val="397B6E7E"/>
    <w:rsid w:val="398E6FFF"/>
    <w:rsid w:val="39901CD1"/>
    <w:rsid w:val="39974106"/>
    <w:rsid w:val="399D36E6"/>
    <w:rsid w:val="399D7242"/>
    <w:rsid w:val="399F745E"/>
    <w:rsid w:val="39AC08D8"/>
    <w:rsid w:val="39AF72FB"/>
    <w:rsid w:val="39BB07C7"/>
    <w:rsid w:val="39BC77B8"/>
    <w:rsid w:val="39D276DC"/>
    <w:rsid w:val="39D62074"/>
    <w:rsid w:val="39D744A2"/>
    <w:rsid w:val="39DC07CC"/>
    <w:rsid w:val="39E906DA"/>
    <w:rsid w:val="39EB4925"/>
    <w:rsid w:val="39F016B5"/>
    <w:rsid w:val="39F0242A"/>
    <w:rsid w:val="39F36D1F"/>
    <w:rsid w:val="39F5707E"/>
    <w:rsid w:val="39FB56E9"/>
    <w:rsid w:val="3A0F59AF"/>
    <w:rsid w:val="3A127B05"/>
    <w:rsid w:val="3A450F10"/>
    <w:rsid w:val="3A4C35B7"/>
    <w:rsid w:val="3A5169AB"/>
    <w:rsid w:val="3A521A44"/>
    <w:rsid w:val="3A556905"/>
    <w:rsid w:val="3A572FF4"/>
    <w:rsid w:val="3A5A1CA1"/>
    <w:rsid w:val="3A696E9B"/>
    <w:rsid w:val="3A7A7584"/>
    <w:rsid w:val="3A9C574C"/>
    <w:rsid w:val="3AAD1707"/>
    <w:rsid w:val="3AB21B4D"/>
    <w:rsid w:val="3AB46F3A"/>
    <w:rsid w:val="3AB6680E"/>
    <w:rsid w:val="3ABB2076"/>
    <w:rsid w:val="3ABE586E"/>
    <w:rsid w:val="3ACB1FB9"/>
    <w:rsid w:val="3ACF5BA4"/>
    <w:rsid w:val="3ADB4AF0"/>
    <w:rsid w:val="3ADC2868"/>
    <w:rsid w:val="3AF71D37"/>
    <w:rsid w:val="3B0024F3"/>
    <w:rsid w:val="3B003F2D"/>
    <w:rsid w:val="3B031181"/>
    <w:rsid w:val="3B036894"/>
    <w:rsid w:val="3B122B07"/>
    <w:rsid w:val="3B380F9C"/>
    <w:rsid w:val="3B3D494C"/>
    <w:rsid w:val="3B3E4A4C"/>
    <w:rsid w:val="3B3E6803"/>
    <w:rsid w:val="3B424545"/>
    <w:rsid w:val="3B5A58D9"/>
    <w:rsid w:val="3B6D7897"/>
    <w:rsid w:val="3B70239B"/>
    <w:rsid w:val="3B845DB3"/>
    <w:rsid w:val="3B8B3E2A"/>
    <w:rsid w:val="3B8D2B96"/>
    <w:rsid w:val="3B8E76C2"/>
    <w:rsid w:val="3B8F6518"/>
    <w:rsid w:val="3BA7084C"/>
    <w:rsid w:val="3BAB20EB"/>
    <w:rsid w:val="3BAC4A2E"/>
    <w:rsid w:val="3BB60A27"/>
    <w:rsid w:val="3BB677FB"/>
    <w:rsid w:val="3BE21884"/>
    <w:rsid w:val="3BF2188D"/>
    <w:rsid w:val="3C0A5015"/>
    <w:rsid w:val="3C0E530A"/>
    <w:rsid w:val="3C17152E"/>
    <w:rsid w:val="3C183361"/>
    <w:rsid w:val="3C225B20"/>
    <w:rsid w:val="3C2D0CE8"/>
    <w:rsid w:val="3C3B317F"/>
    <w:rsid w:val="3C3F0C56"/>
    <w:rsid w:val="3C636521"/>
    <w:rsid w:val="3C7324DC"/>
    <w:rsid w:val="3C7544A7"/>
    <w:rsid w:val="3C883471"/>
    <w:rsid w:val="3C932466"/>
    <w:rsid w:val="3C9530BC"/>
    <w:rsid w:val="3C9568F7"/>
    <w:rsid w:val="3C9B16DA"/>
    <w:rsid w:val="3C9C7C85"/>
    <w:rsid w:val="3CA54D8C"/>
    <w:rsid w:val="3CAF5C0A"/>
    <w:rsid w:val="3CAF79B9"/>
    <w:rsid w:val="3CB66F99"/>
    <w:rsid w:val="3CC40CC7"/>
    <w:rsid w:val="3CCA65A0"/>
    <w:rsid w:val="3CCD03B0"/>
    <w:rsid w:val="3CD64F45"/>
    <w:rsid w:val="3CD72A6B"/>
    <w:rsid w:val="3CDE3DFA"/>
    <w:rsid w:val="3CDF492E"/>
    <w:rsid w:val="3CE53779"/>
    <w:rsid w:val="3CF05812"/>
    <w:rsid w:val="3CF4214F"/>
    <w:rsid w:val="3CFE1BBC"/>
    <w:rsid w:val="3D094C95"/>
    <w:rsid w:val="3D1D799D"/>
    <w:rsid w:val="3D257600"/>
    <w:rsid w:val="3D2C725B"/>
    <w:rsid w:val="3D3F4185"/>
    <w:rsid w:val="3D455CBC"/>
    <w:rsid w:val="3D502D9B"/>
    <w:rsid w:val="3D523D96"/>
    <w:rsid w:val="3D587C71"/>
    <w:rsid w:val="3D6047F7"/>
    <w:rsid w:val="3D6150C3"/>
    <w:rsid w:val="3D6524E8"/>
    <w:rsid w:val="3D6851FA"/>
    <w:rsid w:val="3D6A0C3E"/>
    <w:rsid w:val="3D89184B"/>
    <w:rsid w:val="3D9425AC"/>
    <w:rsid w:val="3D954E00"/>
    <w:rsid w:val="3D9F7A2D"/>
    <w:rsid w:val="3DA54530"/>
    <w:rsid w:val="3DB01C3A"/>
    <w:rsid w:val="3DB50FFF"/>
    <w:rsid w:val="3DBA62C8"/>
    <w:rsid w:val="3DC56736"/>
    <w:rsid w:val="3DC70D32"/>
    <w:rsid w:val="3DCA3932"/>
    <w:rsid w:val="3DD1395F"/>
    <w:rsid w:val="3DD505A6"/>
    <w:rsid w:val="3DDA7FCA"/>
    <w:rsid w:val="3DDB1E89"/>
    <w:rsid w:val="3DE52463"/>
    <w:rsid w:val="3DEA137E"/>
    <w:rsid w:val="3DEC2546"/>
    <w:rsid w:val="3DEE10A9"/>
    <w:rsid w:val="3E02162D"/>
    <w:rsid w:val="3E092898"/>
    <w:rsid w:val="3E105A20"/>
    <w:rsid w:val="3E210442"/>
    <w:rsid w:val="3E247F32"/>
    <w:rsid w:val="3E2556CE"/>
    <w:rsid w:val="3E2E10EE"/>
    <w:rsid w:val="3E391C30"/>
    <w:rsid w:val="3E3D2A12"/>
    <w:rsid w:val="3E3E00A6"/>
    <w:rsid w:val="3E410AE4"/>
    <w:rsid w:val="3E497999"/>
    <w:rsid w:val="3E4E6828"/>
    <w:rsid w:val="3E502AD5"/>
    <w:rsid w:val="3E520371"/>
    <w:rsid w:val="3E530817"/>
    <w:rsid w:val="3E670C26"/>
    <w:rsid w:val="3E75078E"/>
    <w:rsid w:val="3E79027E"/>
    <w:rsid w:val="3E82653C"/>
    <w:rsid w:val="3E8B5005"/>
    <w:rsid w:val="3E90381A"/>
    <w:rsid w:val="3E9055C8"/>
    <w:rsid w:val="3E9E2AE3"/>
    <w:rsid w:val="3E9F4CC4"/>
    <w:rsid w:val="3EA545A1"/>
    <w:rsid w:val="3EB62C95"/>
    <w:rsid w:val="3EB777CF"/>
    <w:rsid w:val="3EBB0897"/>
    <w:rsid w:val="3EBC3129"/>
    <w:rsid w:val="3EBE2CE9"/>
    <w:rsid w:val="3EC17A2B"/>
    <w:rsid w:val="3ECF4342"/>
    <w:rsid w:val="3ED56643"/>
    <w:rsid w:val="3ED647EC"/>
    <w:rsid w:val="3ED731F7"/>
    <w:rsid w:val="3ED874B7"/>
    <w:rsid w:val="3EE114E0"/>
    <w:rsid w:val="3EED5CE2"/>
    <w:rsid w:val="3EEF0540"/>
    <w:rsid w:val="3EF104A5"/>
    <w:rsid w:val="3EF814AF"/>
    <w:rsid w:val="3EF81CCA"/>
    <w:rsid w:val="3F0B578D"/>
    <w:rsid w:val="3F1F4F6D"/>
    <w:rsid w:val="3F1F7AF9"/>
    <w:rsid w:val="3F3021A2"/>
    <w:rsid w:val="3F396721"/>
    <w:rsid w:val="3F426508"/>
    <w:rsid w:val="3F50281B"/>
    <w:rsid w:val="3F535262"/>
    <w:rsid w:val="3F535F37"/>
    <w:rsid w:val="3F5671A1"/>
    <w:rsid w:val="3F5672FF"/>
    <w:rsid w:val="3F690B54"/>
    <w:rsid w:val="3F6B250C"/>
    <w:rsid w:val="3F6E4A47"/>
    <w:rsid w:val="3F6F78D3"/>
    <w:rsid w:val="3F980BD8"/>
    <w:rsid w:val="3F9B5140"/>
    <w:rsid w:val="3FA56E51"/>
    <w:rsid w:val="3FAB242B"/>
    <w:rsid w:val="3FAF1A7E"/>
    <w:rsid w:val="3FB84EDF"/>
    <w:rsid w:val="3FC4377B"/>
    <w:rsid w:val="3FCA25B2"/>
    <w:rsid w:val="3FD140EA"/>
    <w:rsid w:val="3FD516A3"/>
    <w:rsid w:val="3FDB2873"/>
    <w:rsid w:val="3FE163ED"/>
    <w:rsid w:val="3FE45BCB"/>
    <w:rsid w:val="3FE71217"/>
    <w:rsid w:val="3FF12096"/>
    <w:rsid w:val="3FFF3A02"/>
    <w:rsid w:val="400077AC"/>
    <w:rsid w:val="40061FE5"/>
    <w:rsid w:val="40112738"/>
    <w:rsid w:val="40174F87"/>
    <w:rsid w:val="4019470A"/>
    <w:rsid w:val="401C35B7"/>
    <w:rsid w:val="40250D1A"/>
    <w:rsid w:val="4029552E"/>
    <w:rsid w:val="402C18C4"/>
    <w:rsid w:val="402D2248"/>
    <w:rsid w:val="402E32EA"/>
    <w:rsid w:val="40485883"/>
    <w:rsid w:val="40504758"/>
    <w:rsid w:val="407762E4"/>
    <w:rsid w:val="40793F3F"/>
    <w:rsid w:val="407D72E5"/>
    <w:rsid w:val="40813E96"/>
    <w:rsid w:val="40842F0A"/>
    <w:rsid w:val="408803E4"/>
    <w:rsid w:val="40880C4C"/>
    <w:rsid w:val="40885EC7"/>
    <w:rsid w:val="408B5A1D"/>
    <w:rsid w:val="408D14D1"/>
    <w:rsid w:val="40991A6E"/>
    <w:rsid w:val="409A0980"/>
    <w:rsid w:val="409C1AA7"/>
    <w:rsid w:val="40A5015D"/>
    <w:rsid w:val="40A7060C"/>
    <w:rsid w:val="40AA5377"/>
    <w:rsid w:val="40AF61D9"/>
    <w:rsid w:val="40B35E4B"/>
    <w:rsid w:val="40C1736C"/>
    <w:rsid w:val="40C968CE"/>
    <w:rsid w:val="40CB0B39"/>
    <w:rsid w:val="40D06CDF"/>
    <w:rsid w:val="40E32262"/>
    <w:rsid w:val="40EA55B0"/>
    <w:rsid w:val="40EC3FA9"/>
    <w:rsid w:val="40EE560F"/>
    <w:rsid w:val="40F364DC"/>
    <w:rsid w:val="40FE4A6B"/>
    <w:rsid w:val="41004C87"/>
    <w:rsid w:val="41074EF1"/>
    <w:rsid w:val="410B53D9"/>
    <w:rsid w:val="410C362B"/>
    <w:rsid w:val="411E688E"/>
    <w:rsid w:val="4123224D"/>
    <w:rsid w:val="41246E3D"/>
    <w:rsid w:val="412A1D04"/>
    <w:rsid w:val="412B6AD5"/>
    <w:rsid w:val="414209ED"/>
    <w:rsid w:val="4151103E"/>
    <w:rsid w:val="41517A66"/>
    <w:rsid w:val="41674E50"/>
    <w:rsid w:val="41775674"/>
    <w:rsid w:val="41911245"/>
    <w:rsid w:val="41986C6D"/>
    <w:rsid w:val="419A7193"/>
    <w:rsid w:val="419C6A3F"/>
    <w:rsid w:val="41A01FC6"/>
    <w:rsid w:val="41A53F31"/>
    <w:rsid w:val="41A73354"/>
    <w:rsid w:val="41A8103D"/>
    <w:rsid w:val="41BA1B0E"/>
    <w:rsid w:val="41BB58CA"/>
    <w:rsid w:val="41C566F6"/>
    <w:rsid w:val="41CC419D"/>
    <w:rsid w:val="41CD13DC"/>
    <w:rsid w:val="41CE0187"/>
    <w:rsid w:val="41D42EC8"/>
    <w:rsid w:val="41D84E33"/>
    <w:rsid w:val="41E33C60"/>
    <w:rsid w:val="41E41089"/>
    <w:rsid w:val="41E974C9"/>
    <w:rsid w:val="41EA3241"/>
    <w:rsid w:val="41ED09AB"/>
    <w:rsid w:val="41F52311"/>
    <w:rsid w:val="41FB544E"/>
    <w:rsid w:val="42165DE4"/>
    <w:rsid w:val="42181B5C"/>
    <w:rsid w:val="421D2E0A"/>
    <w:rsid w:val="422006C6"/>
    <w:rsid w:val="42245E14"/>
    <w:rsid w:val="42276243"/>
    <w:rsid w:val="42312C1E"/>
    <w:rsid w:val="423170C2"/>
    <w:rsid w:val="423D15C3"/>
    <w:rsid w:val="424130A4"/>
    <w:rsid w:val="42490177"/>
    <w:rsid w:val="4257435F"/>
    <w:rsid w:val="425C633F"/>
    <w:rsid w:val="427009D4"/>
    <w:rsid w:val="427A2817"/>
    <w:rsid w:val="42820352"/>
    <w:rsid w:val="42873A6D"/>
    <w:rsid w:val="428B0580"/>
    <w:rsid w:val="428C60A6"/>
    <w:rsid w:val="429A6B0D"/>
    <w:rsid w:val="429E4D51"/>
    <w:rsid w:val="42A6167A"/>
    <w:rsid w:val="42A72EE0"/>
    <w:rsid w:val="42AB2BDE"/>
    <w:rsid w:val="42B07FE6"/>
    <w:rsid w:val="42B31885"/>
    <w:rsid w:val="42C13FA2"/>
    <w:rsid w:val="42CB3072"/>
    <w:rsid w:val="42ED4D97"/>
    <w:rsid w:val="42F205FF"/>
    <w:rsid w:val="43025AD9"/>
    <w:rsid w:val="43073AC0"/>
    <w:rsid w:val="432F4C16"/>
    <w:rsid w:val="434834C8"/>
    <w:rsid w:val="434D7E55"/>
    <w:rsid w:val="434F4D6C"/>
    <w:rsid w:val="43505326"/>
    <w:rsid w:val="435B2648"/>
    <w:rsid w:val="435E764A"/>
    <w:rsid w:val="43614969"/>
    <w:rsid w:val="436F3C0A"/>
    <w:rsid w:val="43791E72"/>
    <w:rsid w:val="4379564F"/>
    <w:rsid w:val="43B81849"/>
    <w:rsid w:val="43B932A1"/>
    <w:rsid w:val="43BB36C1"/>
    <w:rsid w:val="43C47401"/>
    <w:rsid w:val="43C5728B"/>
    <w:rsid w:val="43CC05E0"/>
    <w:rsid w:val="43DD5DB9"/>
    <w:rsid w:val="43E53939"/>
    <w:rsid w:val="43E56CC6"/>
    <w:rsid w:val="43EA2390"/>
    <w:rsid w:val="43ED5BCE"/>
    <w:rsid w:val="43F54889"/>
    <w:rsid w:val="43F6411F"/>
    <w:rsid w:val="43F92398"/>
    <w:rsid w:val="44250560"/>
    <w:rsid w:val="443D3AFC"/>
    <w:rsid w:val="44432003"/>
    <w:rsid w:val="44444E8A"/>
    <w:rsid w:val="44542355"/>
    <w:rsid w:val="445912D6"/>
    <w:rsid w:val="445C3F1A"/>
    <w:rsid w:val="44657473"/>
    <w:rsid w:val="4469669F"/>
    <w:rsid w:val="447A4314"/>
    <w:rsid w:val="44937BC0"/>
    <w:rsid w:val="44982BC6"/>
    <w:rsid w:val="449F6565"/>
    <w:rsid w:val="44B02B15"/>
    <w:rsid w:val="44BA15F0"/>
    <w:rsid w:val="44BF6C07"/>
    <w:rsid w:val="44BF7173"/>
    <w:rsid w:val="44C67040"/>
    <w:rsid w:val="44DC3215"/>
    <w:rsid w:val="44DD0E3B"/>
    <w:rsid w:val="44E22C38"/>
    <w:rsid w:val="44F64400"/>
    <w:rsid w:val="44FB7C21"/>
    <w:rsid w:val="45085EB8"/>
    <w:rsid w:val="451E56DB"/>
    <w:rsid w:val="4522422D"/>
    <w:rsid w:val="452B429C"/>
    <w:rsid w:val="452B604A"/>
    <w:rsid w:val="45343151"/>
    <w:rsid w:val="4536655B"/>
    <w:rsid w:val="45462E84"/>
    <w:rsid w:val="45513D03"/>
    <w:rsid w:val="455D5BBD"/>
    <w:rsid w:val="45614BDE"/>
    <w:rsid w:val="45633A36"/>
    <w:rsid w:val="456A5B52"/>
    <w:rsid w:val="456B28EB"/>
    <w:rsid w:val="456F4189"/>
    <w:rsid w:val="45772A5A"/>
    <w:rsid w:val="459E4A6E"/>
    <w:rsid w:val="45A55DFD"/>
    <w:rsid w:val="45A7678F"/>
    <w:rsid w:val="45A85679"/>
    <w:rsid w:val="45A8769B"/>
    <w:rsid w:val="45B04682"/>
    <w:rsid w:val="45B20519"/>
    <w:rsid w:val="45C11D83"/>
    <w:rsid w:val="45C142B9"/>
    <w:rsid w:val="45C2075D"/>
    <w:rsid w:val="45C25318"/>
    <w:rsid w:val="45C42E27"/>
    <w:rsid w:val="45C4760F"/>
    <w:rsid w:val="45CD7E7A"/>
    <w:rsid w:val="45D646CD"/>
    <w:rsid w:val="45D73273"/>
    <w:rsid w:val="45D779EB"/>
    <w:rsid w:val="45DC10F2"/>
    <w:rsid w:val="45FA2AFC"/>
    <w:rsid w:val="45FB0FA6"/>
    <w:rsid w:val="460B7968"/>
    <w:rsid w:val="460C0332"/>
    <w:rsid w:val="46196B03"/>
    <w:rsid w:val="46354550"/>
    <w:rsid w:val="46366A55"/>
    <w:rsid w:val="46386C71"/>
    <w:rsid w:val="46411FB4"/>
    <w:rsid w:val="46434241"/>
    <w:rsid w:val="46476EB4"/>
    <w:rsid w:val="46480DE6"/>
    <w:rsid w:val="46551A0A"/>
    <w:rsid w:val="465B4516"/>
    <w:rsid w:val="46621A0F"/>
    <w:rsid w:val="466E26B2"/>
    <w:rsid w:val="46775A91"/>
    <w:rsid w:val="46780E1B"/>
    <w:rsid w:val="46933EA7"/>
    <w:rsid w:val="469519CD"/>
    <w:rsid w:val="46A340A4"/>
    <w:rsid w:val="46A75448"/>
    <w:rsid w:val="46B02CAB"/>
    <w:rsid w:val="46B3065B"/>
    <w:rsid w:val="46B44500"/>
    <w:rsid w:val="46B5568F"/>
    <w:rsid w:val="46B907F6"/>
    <w:rsid w:val="46BA7686"/>
    <w:rsid w:val="46CB1F58"/>
    <w:rsid w:val="46DB48BC"/>
    <w:rsid w:val="46E34F9C"/>
    <w:rsid w:val="46E6288D"/>
    <w:rsid w:val="46FA3181"/>
    <w:rsid w:val="47103C04"/>
    <w:rsid w:val="47186B04"/>
    <w:rsid w:val="472965B9"/>
    <w:rsid w:val="472D42FC"/>
    <w:rsid w:val="4730699C"/>
    <w:rsid w:val="47307948"/>
    <w:rsid w:val="47360BFD"/>
    <w:rsid w:val="4737208D"/>
    <w:rsid w:val="47394A4E"/>
    <w:rsid w:val="473E435A"/>
    <w:rsid w:val="47464EB1"/>
    <w:rsid w:val="47505C13"/>
    <w:rsid w:val="475140C4"/>
    <w:rsid w:val="47527A0B"/>
    <w:rsid w:val="475C069B"/>
    <w:rsid w:val="476C3E95"/>
    <w:rsid w:val="477041E8"/>
    <w:rsid w:val="477D4822"/>
    <w:rsid w:val="477E7BF6"/>
    <w:rsid w:val="47887784"/>
    <w:rsid w:val="479B1265"/>
    <w:rsid w:val="47A0373C"/>
    <w:rsid w:val="47AD0FE9"/>
    <w:rsid w:val="47B15CEF"/>
    <w:rsid w:val="47B22132"/>
    <w:rsid w:val="47BE4F54"/>
    <w:rsid w:val="47C44B0B"/>
    <w:rsid w:val="47D11CE3"/>
    <w:rsid w:val="47D209FF"/>
    <w:rsid w:val="47ED5839"/>
    <w:rsid w:val="48055254"/>
    <w:rsid w:val="480768FB"/>
    <w:rsid w:val="480A28B5"/>
    <w:rsid w:val="480B6FBE"/>
    <w:rsid w:val="481055E1"/>
    <w:rsid w:val="48132B32"/>
    <w:rsid w:val="481E7594"/>
    <w:rsid w:val="48226133"/>
    <w:rsid w:val="4825371B"/>
    <w:rsid w:val="48254EA1"/>
    <w:rsid w:val="482C04E4"/>
    <w:rsid w:val="482D1953"/>
    <w:rsid w:val="482E3240"/>
    <w:rsid w:val="483738C1"/>
    <w:rsid w:val="483F7D1D"/>
    <w:rsid w:val="484315B6"/>
    <w:rsid w:val="48436C01"/>
    <w:rsid w:val="48436FDA"/>
    <w:rsid w:val="4849534C"/>
    <w:rsid w:val="484F3DFE"/>
    <w:rsid w:val="48510803"/>
    <w:rsid w:val="487B2804"/>
    <w:rsid w:val="487E46E3"/>
    <w:rsid w:val="488143CF"/>
    <w:rsid w:val="48A56114"/>
    <w:rsid w:val="48B84099"/>
    <w:rsid w:val="48C10F02"/>
    <w:rsid w:val="48D32A3F"/>
    <w:rsid w:val="48D67456"/>
    <w:rsid w:val="48DB1B35"/>
    <w:rsid w:val="48E12A61"/>
    <w:rsid w:val="48E7759C"/>
    <w:rsid w:val="48F14FA7"/>
    <w:rsid w:val="48F5388E"/>
    <w:rsid w:val="490636F3"/>
    <w:rsid w:val="49064167"/>
    <w:rsid w:val="49065575"/>
    <w:rsid w:val="490E74BE"/>
    <w:rsid w:val="49154341"/>
    <w:rsid w:val="49227218"/>
    <w:rsid w:val="49261002"/>
    <w:rsid w:val="492B486B"/>
    <w:rsid w:val="49303C2F"/>
    <w:rsid w:val="49382A8C"/>
    <w:rsid w:val="49413C8F"/>
    <w:rsid w:val="4957740E"/>
    <w:rsid w:val="495F470A"/>
    <w:rsid w:val="496E4757"/>
    <w:rsid w:val="496F29A9"/>
    <w:rsid w:val="49796DE5"/>
    <w:rsid w:val="497C50C6"/>
    <w:rsid w:val="4982148C"/>
    <w:rsid w:val="499147F8"/>
    <w:rsid w:val="499A1BB6"/>
    <w:rsid w:val="499A379E"/>
    <w:rsid w:val="49A80A51"/>
    <w:rsid w:val="49AB1508"/>
    <w:rsid w:val="49AD5280"/>
    <w:rsid w:val="49B03EC5"/>
    <w:rsid w:val="49B760FE"/>
    <w:rsid w:val="49C376F0"/>
    <w:rsid w:val="49CB3958"/>
    <w:rsid w:val="49D54632"/>
    <w:rsid w:val="49E12490"/>
    <w:rsid w:val="49EB0CE1"/>
    <w:rsid w:val="49EF3AEA"/>
    <w:rsid w:val="49FA5FEB"/>
    <w:rsid w:val="49FD409A"/>
    <w:rsid w:val="4A001B11"/>
    <w:rsid w:val="4A0D3931"/>
    <w:rsid w:val="4A1B1515"/>
    <w:rsid w:val="4A1E149C"/>
    <w:rsid w:val="4A392FB7"/>
    <w:rsid w:val="4A46425C"/>
    <w:rsid w:val="4A4831FA"/>
    <w:rsid w:val="4A590F64"/>
    <w:rsid w:val="4A5E3966"/>
    <w:rsid w:val="4A602533"/>
    <w:rsid w:val="4A69564B"/>
    <w:rsid w:val="4A817867"/>
    <w:rsid w:val="4A8418EC"/>
    <w:rsid w:val="4A886393"/>
    <w:rsid w:val="4A916D80"/>
    <w:rsid w:val="4A9939A8"/>
    <w:rsid w:val="4AA301C4"/>
    <w:rsid w:val="4AB16FF2"/>
    <w:rsid w:val="4AC427FF"/>
    <w:rsid w:val="4ACF1D3F"/>
    <w:rsid w:val="4ADD6B6A"/>
    <w:rsid w:val="4AE50A49"/>
    <w:rsid w:val="4AE7656F"/>
    <w:rsid w:val="4AE80CD5"/>
    <w:rsid w:val="4AF01061"/>
    <w:rsid w:val="4AF615E5"/>
    <w:rsid w:val="4B0A4FB2"/>
    <w:rsid w:val="4B0E40B7"/>
    <w:rsid w:val="4B166C07"/>
    <w:rsid w:val="4B181864"/>
    <w:rsid w:val="4B192460"/>
    <w:rsid w:val="4B1A530B"/>
    <w:rsid w:val="4B2252FF"/>
    <w:rsid w:val="4B28564D"/>
    <w:rsid w:val="4B4734B2"/>
    <w:rsid w:val="4B4B4D50"/>
    <w:rsid w:val="4B4B51BF"/>
    <w:rsid w:val="4B551820"/>
    <w:rsid w:val="4B5E0F27"/>
    <w:rsid w:val="4B5F5805"/>
    <w:rsid w:val="4B602A44"/>
    <w:rsid w:val="4B6263BE"/>
    <w:rsid w:val="4B693428"/>
    <w:rsid w:val="4B712641"/>
    <w:rsid w:val="4B822C72"/>
    <w:rsid w:val="4B9F509C"/>
    <w:rsid w:val="4BA91A77"/>
    <w:rsid w:val="4BB22B38"/>
    <w:rsid w:val="4BBA1A67"/>
    <w:rsid w:val="4BBF01FF"/>
    <w:rsid w:val="4BDD7AE2"/>
    <w:rsid w:val="4BE4209C"/>
    <w:rsid w:val="4BEF7DD1"/>
    <w:rsid w:val="4C001FDF"/>
    <w:rsid w:val="4C00343C"/>
    <w:rsid w:val="4C0A0767"/>
    <w:rsid w:val="4C1B0BC7"/>
    <w:rsid w:val="4C1B2DAC"/>
    <w:rsid w:val="4C235F53"/>
    <w:rsid w:val="4C2F68A5"/>
    <w:rsid w:val="4C302D3F"/>
    <w:rsid w:val="4C327CBE"/>
    <w:rsid w:val="4C3E6663"/>
    <w:rsid w:val="4C40062D"/>
    <w:rsid w:val="4C5729F1"/>
    <w:rsid w:val="4C5E6D05"/>
    <w:rsid w:val="4C60482B"/>
    <w:rsid w:val="4C61218F"/>
    <w:rsid w:val="4C690D7A"/>
    <w:rsid w:val="4C81207A"/>
    <w:rsid w:val="4C9D5A7F"/>
    <w:rsid w:val="4CA32EA0"/>
    <w:rsid w:val="4CA63BB9"/>
    <w:rsid w:val="4CAC5CC3"/>
    <w:rsid w:val="4CC36B68"/>
    <w:rsid w:val="4CCC0BA3"/>
    <w:rsid w:val="4CCE5CC5"/>
    <w:rsid w:val="4CD07C03"/>
    <w:rsid w:val="4CD45B68"/>
    <w:rsid w:val="4CD6192E"/>
    <w:rsid w:val="4CD945DE"/>
    <w:rsid w:val="4CDC1A14"/>
    <w:rsid w:val="4CDD465B"/>
    <w:rsid w:val="4CE6280F"/>
    <w:rsid w:val="4CF229A2"/>
    <w:rsid w:val="4CF8221E"/>
    <w:rsid w:val="4CFA1371"/>
    <w:rsid w:val="4D01600E"/>
    <w:rsid w:val="4D045777"/>
    <w:rsid w:val="4D0B64F1"/>
    <w:rsid w:val="4D0C49B3"/>
    <w:rsid w:val="4D0E4287"/>
    <w:rsid w:val="4D0E4E58"/>
    <w:rsid w:val="4D134C1E"/>
    <w:rsid w:val="4D1E09CE"/>
    <w:rsid w:val="4D2170D7"/>
    <w:rsid w:val="4D23589E"/>
    <w:rsid w:val="4D2C1518"/>
    <w:rsid w:val="4D327516"/>
    <w:rsid w:val="4D330192"/>
    <w:rsid w:val="4D3643BE"/>
    <w:rsid w:val="4D3A74D3"/>
    <w:rsid w:val="4D3F6B37"/>
    <w:rsid w:val="4D401408"/>
    <w:rsid w:val="4D470BCC"/>
    <w:rsid w:val="4D4B1038"/>
    <w:rsid w:val="4D4F139F"/>
    <w:rsid w:val="4D562012"/>
    <w:rsid w:val="4D5636C2"/>
    <w:rsid w:val="4D61085B"/>
    <w:rsid w:val="4D720CBA"/>
    <w:rsid w:val="4D7671EC"/>
    <w:rsid w:val="4D79685E"/>
    <w:rsid w:val="4D87403A"/>
    <w:rsid w:val="4D994499"/>
    <w:rsid w:val="4D9F48EE"/>
    <w:rsid w:val="4DA26048"/>
    <w:rsid w:val="4DAF6BE2"/>
    <w:rsid w:val="4DB25EB3"/>
    <w:rsid w:val="4DB55769"/>
    <w:rsid w:val="4DBF5582"/>
    <w:rsid w:val="4DC808DA"/>
    <w:rsid w:val="4DCE7CA6"/>
    <w:rsid w:val="4DD21759"/>
    <w:rsid w:val="4DD92AE7"/>
    <w:rsid w:val="4DDA02D7"/>
    <w:rsid w:val="4DDC4386"/>
    <w:rsid w:val="4DE27557"/>
    <w:rsid w:val="4DE35714"/>
    <w:rsid w:val="4DEB2CD9"/>
    <w:rsid w:val="4DF0398D"/>
    <w:rsid w:val="4DF23BA9"/>
    <w:rsid w:val="4DF27705"/>
    <w:rsid w:val="4DF55447"/>
    <w:rsid w:val="4DF57D4C"/>
    <w:rsid w:val="4DF60911"/>
    <w:rsid w:val="4DFE2F2C"/>
    <w:rsid w:val="4DFF1E22"/>
    <w:rsid w:val="4E03632F"/>
    <w:rsid w:val="4E0D2583"/>
    <w:rsid w:val="4E0D3CBB"/>
    <w:rsid w:val="4E0E54F8"/>
    <w:rsid w:val="4E1B61D5"/>
    <w:rsid w:val="4E233D62"/>
    <w:rsid w:val="4E390398"/>
    <w:rsid w:val="4E3C560A"/>
    <w:rsid w:val="4E457381"/>
    <w:rsid w:val="4E5008D0"/>
    <w:rsid w:val="4E557601"/>
    <w:rsid w:val="4E56685E"/>
    <w:rsid w:val="4E573A0C"/>
    <w:rsid w:val="4E640AFC"/>
    <w:rsid w:val="4E7B0E94"/>
    <w:rsid w:val="4E7D1A3E"/>
    <w:rsid w:val="4E8A7821"/>
    <w:rsid w:val="4E8D47F8"/>
    <w:rsid w:val="4E9F18D5"/>
    <w:rsid w:val="4EBB043F"/>
    <w:rsid w:val="4EBD0685"/>
    <w:rsid w:val="4EBE5B91"/>
    <w:rsid w:val="4EC16935"/>
    <w:rsid w:val="4EC17249"/>
    <w:rsid w:val="4EC65029"/>
    <w:rsid w:val="4EDF5631"/>
    <w:rsid w:val="4EEF2F72"/>
    <w:rsid w:val="4EEF633A"/>
    <w:rsid w:val="4EF17F2E"/>
    <w:rsid w:val="4EF318E6"/>
    <w:rsid w:val="4EF42728"/>
    <w:rsid w:val="4EF43951"/>
    <w:rsid w:val="4EFD78CF"/>
    <w:rsid w:val="4F05527B"/>
    <w:rsid w:val="4F067CCC"/>
    <w:rsid w:val="4F0A6827"/>
    <w:rsid w:val="4F0A6D3E"/>
    <w:rsid w:val="4F1071CD"/>
    <w:rsid w:val="4F165675"/>
    <w:rsid w:val="4F212C3D"/>
    <w:rsid w:val="4F334479"/>
    <w:rsid w:val="4F343D4D"/>
    <w:rsid w:val="4F365D17"/>
    <w:rsid w:val="4F384B46"/>
    <w:rsid w:val="4F3948ED"/>
    <w:rsid w:val="4F3A6B12"/>
    <w:rsid w:val="4F3F5BF0"/>
    <w:rsid w:val="4F604F02"/>
    <w:rsid w:val="4F675ED1"/>
    <w:rsid w:val="4F6B4A2D"/>
    <w:rsid w:val="4F6C1739"/>
    <w:rsid w:val="4F6E5E51"/>
    <w:rsid w:val="4F710AFD"/>
    <w:rsid w:val="4F787DC6"/>
    <w:rsid w:val="4F7E3610"/>
    <w:rsid w:val="4F8C3B89"/>
    <w:rsid w:val="4F906F55"/>
    <w:rsid w:val="4F9426D8"/>
    <w:rsid w:val="4F9E333A"/>
    <w:rsid w:val="4FA2591B"/>
    <w:rsid w:val="4FB56C3C"/>
    <w:rsid w:val="4FBE01E7"/>
    <w:rsid w:val="4FBF2C38"/>
    <w:rsid w:val="4FBF7ABB"/>
    <w:rsid w:val="4FC9093A"/>
    <w:rsid w:val="4FED287A"/>
    <w:rsid w:val="4FF607F8"/>
    <w:rsid w:val="4FFA5068"/>
    <w:rsid w:val="4FFD05E3"/>
    <w:rsid w:val="500C3E41"/>
    <w:rsid w:val="5027603A"/>
    <w:rsid w:val="50281B04"/>
    <w:rsid w:val="50354221"/>
    <w:rsid w:val="5038161B"/>
    <w:rsid w:val="503E4140"/>
    <w:rsid w:val="504B2CD4"/>
    <w:rsid w:val="50525432"/>
    <w:rsid w:val="50531204"/>
    <w:rsid w:val="506241B1"/>
    <w:rsid w:val="50632B3C"/>
    <w:rsid w:val="50652FA5"/>
    <w:rsid w:val="507B61E4"/>
    <w:rsid w:val="507F2A27"/>
    <w:rsid w:val="50847A5D"/>
    <w:rsid w:val="508A337F"/>
    <w:rsid w:val="50923421"/>
    <w:rsid w:val="50B129D4"/>
    <w:rsid w:val="50B22D53"/>
    <w:rsid w:val="50B43398"/>
    <w:rsid w:val="50B769E4"/>
    <w:rsid w:val="50CC783B"/>
    <w:rsid w:val="50E377D9"/>
    <w:rsid w:val="50E704AF"/>
    <w:rsid w:val="50F419E6"/>
    <w:rsid w:val="50F766F8"/>
    <w:rsid w:val="50FA22D5"/>
    <w:rsid w:val="50FE66C2"/>
    <w:rsid w:val="5124051D"/>
    <w:rsid w:val="5139389D"/>
    <w:rsid w:val="513D15DF"/>
    <w:rsid w:val="514328A4"/>
    <w:rsid w:val="514E559A"/>
    <w:rsid w:val="51510BE7"/>
    <w:rsid w:val="51527BEA"/>
    <w:rsid w:val="5153495F"/>
    <w:rsid w:val="51596F95"/>
    <w:rsid w:val="515F3303"/>
    <w:rsid w:val="51625F19"/>
    <w:rsid w:val="51630107"/>
    <w:rsid w:val="51645C82"/>
    <w:rsid w:val="517338F9"/>
    <w:rsid w:val="51746AAC"/>
    <w:rsid w:val="517B7348"/>
    <w:rsid w:val="5187285A"/>
    <w:rsid w:val="51882AA4"/>
    <w:rsid w:val="51890380"/>
    <w:rsid w:val="518F21E1"/>
    <w:rsid w:val="519A433C"/>
    <w:rsid w:val="519B16BA"/>
    <w:rsid w:val="51B3364F"/>
    <w:rsid w:val="51B44DED"/>
    <w:rsid w:val="51CE0489"/>
    <w:rsid w:val="51D35A9F"/>
    <w:rsid w:val="51D57A6A"/>
    <w:rsid w:val="51D62D6C"/>
    <w:rsid w:val="51ED67A5"/>
    <w:rsid w:val="51F04335"/>
    <w:rsid w:val="51FF27DF"/>
    <w:rsid w:val="52043EAB"/>
    <w:rsid w:val="52075749"/>
    <w:rsid w:val="521A2C30"/>
    <w:rsid w:val="521B76FA"/>
    <w:rsid w:val="522112C7"/>
    <w:rsid w:val="522D3402"/>
    <w:rsid w:val="52347646"/>
    <w:rsid w:val="524A0DF2"/>
    <w:rsid w:val="526507E9"/>
    <w:rsid w:val="526C0229"/>
    <w:rsid w:val="5281516B"/>
    <w:rsid w:val="5285323E"/>
    <w:rsid w:val="52862A41"/>
    <w:rsid w:val="528F19C6"/>
    <w:rsid w:val="52994F56"/>
    <w:rsid w:val="529E27CE"/>
    <w:rsid w:val="52A86F2C"/>
    <w:rsid w:val="52AA5BCA"/>
    <w:rsid w:val="52AC63CA"/>
    <w:rsid w:val="52B10CD9"/>
    <w:rsid w:val="52B6458B"/>
    <w:rsid w:val="52CA0C50"/>
    <w:rsid w:val="52D60803"/>
    <w:rsid w:val="52D615E9"/>
    <w:rsid w:val="52DD6187"/>
    <w:rsid w:val="52E15F9A"/>
    <w:rsid w:val="52E21111"/>
    <w:rsid w:val="52E8557B"/>
    <w:rsid w:val="52F41495"/>
    <w:rsid w:val="52FD0D62"/>
    <w:rsid w:val="5301525B"/>
    <w:rsid w:val="5303124D"/>
    <w:rsid w:val="532642C2"/>
    <w:rsid w:val="532960F3"/>
    <w:rsid w:val="532C75C2"/>
    <w:rsid w:val="532D11DF"/>
    <w:rsid w:val="533D0E70"/>
    <w:rsid w:val="534D3630"/>
    <w:rsid w:val="534E0718"/>
    <w:rsid w:val="53596C46"/>
    <w:rsid w:val="53721D2E"/>
    <w:rsid w:val="538057B3"/>
    <w:rsid w:val="53852DC9"/>
    <w:rsid w:val="53856316"/>
    <w:rsid w:val="538B512E"/>
    <w:rsid w:val="538F3C48"/>
    <w:rsid w:val="53933C31"/>
    <w:rsid w:val="539A4AC7"/>
    <w:rsid w:val="53A45945"/>
    <w:rsid w:val="53A77AC1"/>
    <w:rsid w:val="53B50810"/>
    <w:rsid w:val="53C441BA"/>
    <w:rsid w:val="53C65C97"/>
    <w:rsid w:val="53D53B36"/>
    <w:rsid w:val="53D866AA"/>
    <w:rsid w:val="53EE4E13"/>
    <w:rsid w:val="53F30AFE"/>
    <w:rsid w:val="53F35F85"/>
    <w:rsid w:val="53F557D8"/>
    <w:rsid w:val="540168F4"/>
    <w:rsid w:val="54116164"/>
    <w:rsid w:val="54166797"/>
    <w:rsid w:val="54177EC5"/>
    <w:rsid w:val="541C1980"/>
    <w:rsid w:val="54330A77"/>
    <w:rsid w:val="543559BA"/>
    <w:rsid w:val="543565E5"/>
    <w:rsid w:val="54365683"/>
    <w:rsid w:val="543842E0"/>
    <w:rsid w:val="54393D2C"/>
    <w:rsid w:val="543E62FD"/>
    <w:rsid w:val="544669FD"/>
    <w:rsid w:val="544D60C4"/>
    <w:rsid w:val="5462784E"/>
    <w:rsid w:val="546C75CB"/>
    <w:rsid w:val="54822179"/>
    <w:rsid w:val="54886563"/>
    <w:rsid w:val="54993328"/>
    <w:rsid w:val="54994CF6"/>
    <w:rsid w:val="549E4143"/>
    <w:rsid w:val="54A421C0"/>
    <w:rsid w:val="54AA0D3A"/>
    <w:rsid w:val="54AA6F8B"/>
    <w:rsid w:val="54AB2D04"/>
    <w:rsid w:val="54AC3ACB"/>
    <w:rsid w:val="54B25E40"/>
    <w:rsid w:val="54BB2F47"/>
    <w:rsid w:val="54C02294"/>
    <w:rsid w:val="54C11331"/>
    <w:rsid w:val="54C94F38"/>
    <w:rsid w:val="54CA106A"/>
    <w:rsid w:val="54CC5154"/>
    <w:rsid w:val="54CE338B"/>
    <w:rsid w:val="54D20290"/>
    <w:rsid w:val="54DE2B5B"/>
    <w:rsid w:val="54DE499C"/>
    <w:rsid w:val="54E55B46"/>
    <w:rsid w:val="54E95C7C"/>
    <w:rsid w:val="54FE4BE1"/>
    <w:rsid w:val="550A6C35"/>
    <w:rsid w:val="550F5041"/>
    <w:rsid w:val="55176FAE"/>
    <w:rsid w:val="55323A38"/>
    <w:rsid w:val="55410A07"/>
    <w:rsid w:val="554B067D"/>
    <w:rsid w:val="555E3873"/>
    <w:rsid w:val="5560589C"/>
    <w:rsid w:val="556D0A1A"/>
    <w:rsid w:val="557456A2"/>
    <w:rsid w:val="557F21C6"/>
    <w:rsid w:val="55823A64"/>
    <w:rsid w:val="558A01F8"/>
    <w:rsid w:val="558E065B"/>
    <w:rsid w:val="559B68D4"/>
    <w:rsid w:val="55AF1038"/>
    <w:rsid w:val="55B160F8"/>
    <w:rsid w:val="55B60A05"/>
    <w:rsid w:val="55BD676B"/>
    <w:rsid w:val="55C0458D"/>
    <w:rsid w:val="55C41BC9"/>
    <w:rsid w:val="55C57B92"/>
    <w:rsid w:val="55C776C9"/>
    <w:rsid w:val="55CA71B9"/>
    <w:rsid w:val="55CD3B0F"/>
    <w:rsid w:val="55CF2BDB"/>
    <w:rsid w:val="55D0311C"/>
    <w:rsid w:val="55D40A78"/>
    <w:rsid w:val="55D626A0"/>
    <w:rsid w:val="55E22755"/>
    <w:rsid w:val="55E33DBD"/>
    <w:rsid w:val="55E4027B"/>
    <w:rsid w:val="55ED79F4"/>
    <w:rsid w:val="55F8516F"/>
    <w:rsid w:val="55FD63F0"/>
    <w:rsid w:val="55FD732E"/>
    <w:rsid w:val="560241CA"/>
    <w:rsid w:val="56066443"/>
    <w:rsid w:val="560D5F27"/>
    <w:rsid w:val="56104960"/>
    <w:rsid w:val="561B17C3"/>
    <w:rsid w:val="56282BD5"/>
    <w:rsid w:val="56370595"/>
    <w:rsid w:val="56441161"/>
    <w:rsid w:val="56483449"/>
    <w:rsid w:val="564A752D"/>
    <w:rsid w:val="564C1C38"/>
    <w:rsid w:val="565919F0"/>
    <w:rsid w:val="565C3DDF"/>
    <w:rsid w:val="565E1196"/>
    <w:rsid w:val="56613A2C"/>
    <w:rsid w:val="566A656D"/>
    <w:rsid w:val="56776DAC"/>
    <w:rsid w:val="567E4A98"/>
    <w:rsid w:val="56821B23"/>
    <w:rsid w:val="568D170D"/>
    <w:rsid w:val="568D2E55"/>
    <w:rsid w:val="56981FCE"/>
    <w:rsid w:val="56994E73"/>
    <w:rsid w:val="5699538C"/>
    <w:rsid w:val="569972B8"/>
    <w:rsid w:val="569C0F94"/>
    <w:rsid w:val="56A25A40"/>
    <w:rsid w:val="56A95021"/>
    <w:rsid w:val="56AC43BF"/>
    <w:rsid w:val="56AF58AB"/>
    <w:rsid w:val="56B66830"/>
    <w:rsid w:val="56BC64C7"/>
    <w:rsid w:val="56BD287A"/>
    <w:rsid w:val="56C01D0F"/>
    <w:rsid w:val="56D45D22"/>
    <w:rsid w:val="56E46059"/>
    <w:rsid w:val="56F06AA0"/>
    <w:rsid w:val="56F12C7C"/>
    <w:rsid w:val="56F26E03"/>
    <w:rsid w:val="56F521C4"/>
    <w:rsid w:val="56F93E33"/>
    <w:rsid w:val="56F97D56"/>
    <w:rsid w:val="56FA587C"/>
    <w:rsid w:val="57015376"/>
    <w:rsid w:val="5707159A"/>
    <w:rsid w:val="570F1328"/>
    <w:rsid w:val="570F13E3"/>
    <w:rsid w:val="571464E4"/>
    <w:rsid w:val="571E77BD"/>
    <w:rsid w:val="57225757"/>
    <w:rsid w:val="573050F9"/>
    <w:rsid w:val="57440599"/>
    <w:rsid w:val="574F5FDF"/>
    <w:rsid w:val="57510EB2"/>
    <w:rsid w:val="57560D05"/>
    <w:rsid w:val="575B456D"/>
    <w:rsid w:val="575B631B"/>
    <w:rsid w:val="576A0C54"/>
    <w:rsid w:val="576D6733"/>
    <w:rsid w:val="5771516F"/>
    <w:rsid w:val="578777C2"/>
    <w:rsid w:val="57AA72A2"/>
    <w:rsid w:val="57AF070B"/>
    <w:rsid w:val="57AF7357"/>
    <w:rsid w:val="57C02622"/>
    <w:rsid w:val="57C71C02"/>
    <w:rsid w:val="57D5582A"/>
    <w:rsid w:val="57D6563F"/>
    <w:rsid w:val="57DA3BE8"/>
    <w:rsid w:val="57DF13CA"/>
    <w:rsid w:val="57DF3896"/>
    <w:rsid w:val="57EE3284"/>
    <w:rsid w:val="57F85808"/>
    <w:rsid w:val="57FA0A61"/>
    <w:rsid w:val="58171235"/>
    <w:rsid w:val="5825158A"/>
    <w:rsid w:val="582D6EF7"/>
    <w:rsid w:val="584B45E2"/>
    <w:rsid w:val="584E40D2"/>
    <w:rsid w:val="584E5E80"/>
    <w:rsid w:val="58507E4A"/>
    <w:rsid w:val="58621320"/>
    <w:rsid w:val="586B686F"/>
    <w:rsid w:val="587A4EC7"/>
    <w:rsid w:val="58810003"/>
    <w:rsid w:val="58871392"/>
    <w:rsid w:val="588861C8"/>
    <w:rsid w:val="588B271C"/>
    <w:rsid w:val="58907CA7"/>
    <w:rsid w:val="5898359F"/>
    <w:rsid w:val="58C83E84"/>
    <w:rsid w:val="58CE6FC1"/>
    <w:rsid w:val="58D03C0A"/>
    <w:rsid w:val="58E16CF4"/>
    <w:rsid w:val="58E56AAA"/>
    <w:rsid w:val="58E80082"/>
    <w:rsid w:val="58F20F01"/>
    <w:rsid w:val="590824D3"/>
    <w:rsid w:val="590832DB"/>
    <w:rsid w:val="591F15CA"/>
    <w:rsid w:val="592310BA"/>
    <w:rsid w:val="59345CB1"/>
    <w:rsid w:val="5941597A"/>
    <w:rsid w:val="594D25DB"/>
    <w:rsid w:val="59501386"/>
    <w:rsid w:val="59725B9E"/>
    <w:rsid w:val="59870C99"/>
    <w:rsid w:val="598977F5"/>
    <w:rsid w:val="598D06AE"/>
    <w:rsid w:val="59954103"/>
    <w:rsid w:val="59A52753"/>
    <w:rsid w:val="59AA7B9B"/>
    <w:rsid w:val="59CA59DA"/>
    <w:rsid w:val="59CE22C7"/>
    <w:rsid w:val="59D127C7"/>
    <w:rsid w:val="59DD2514"/>
    <w:rsid w:val="59E959E1"/>
    <w:rsid w:val="59EA607C"/>
    <w:rsid w:val="59ED6238"/>
    <w:rsid w:val="59F16C60"/>
    <w:rsid w:val="59FC5661"/>
    <w:rsid w:val="5A0114F0"/>
    <w:rsid w:val="5A011E86"/>
    <w:rsid w:val="5A10570B"/>
    <w:rsid w:val="5A160C1F"/>
    <w:rsid w:val="5A225816"/>
    <w:rsid w:val="5A3F1F24"/>
    <w:rsid w:val="5A4B39E2"/>
    <w:rsid w:val="5A516F22"/>
    <w:rsid w:val="5A585274"/>
    <w:rsid w:val="5A853ABA"/>
    <w:rsid w:val="5A9A1850"/>
    <w:rsid w:val="5AB6152D"/>
    <w:rsid w:val="5AB75F5E"/>
    <w:rsid w:val="5ABD060B"/>
    <w:rsid w:val="5ADA7ADE"/>
    <w:rsid w:val="5AE007FD"/>
    <w:rsid w:val="5AE519B6"/>
    <w:rsid w:val="5AE85E5F"/>
    <w:rsid w:val="5AF2343A"/>
    <w:rsid w:val="5AF30F60"/>
    <w:rsid w:val="5B04044A"/>
    <w:rsid w:val="5B186913"/>
    <w:rsid w:val="5B23628A"/>
    <w:rsid w:val="5B266BCA"/>
    <w:rsid w:val="5B2B0E2D"/>
    <w:rsid w:val="5B386973"/>
    <w:rsid w:val="5B491F2D"/>
    <w:rsid w:val="5B5157C0"/>
    <w:rsid w:val="5B5277F7"/>
    <w:rsid w:val="5B5B56E4"/>
    <w:rsid w:val="5B5F2152"/>
    <w:rsid w:val="5B692A46"/>
    <w:rsid w:val="5B715362"/>
    <w:rsid w:val="5B745BFD"/>
    <w:rsid w:val="5B793760"/>
    <w:rsid w:val="5B7B6ECF"/>
    <w:rsid w:val="5B951FBE"/>
    <w:rsid w:val="5B9C33A6"/>
    <w:rsid w:val="5BA45972"/>
    <w:rsid w:val="5BA9004A"/>
    <w:rsid w:val="5BB069E9"/>
    <w:rsid w:val="5BB141B7"/>
    <w:rsid w:val="5BC052E6"/>
    <w:rsid w:val="5BDE2749"/>
    <w:rsid w:val="5BE97F7B"/>
    <w:rsid w:val="5BF62AB6"/>
    <w:rsid w:val="5C0435D2"/>
    <w:rsid w:val="5C0574C5"/>
    <w:rsid w:val="5C0E285A"/>
    <w:rsid w:val="5C1F68B2"/>
    <w:rsid w:val="5C2313D1"/>
    <w:rsid w:val="5C295359"/>
    <w:rsid w:val="5C2B3B35"/>
    <w:rsid w:val="5C2E04A2"/>
    <w:rsid w:val="5C2F00C3"/>
    <w:rsid w:val="5C3360D0"/>
    <w:rsid w:val="5C353B44"/>
    <w:rsid w:val="5C3C5E9C"/>
    <w:rsid w:val="5C4750C0"/>
    <w:rsid w:val="5C514191"/>
    <w:rsid w:val="5C531CB7"/>
    <w:rsid w:val="5C6464B3"/>
    <w:rsid w:val="5C651327"/>
    <w:rsid w:val="5C6E7471"/>
    <w:rsid w:val="5C785811"/>
    <w:rsid w:val="5C8026E5"/>
    <w:rsid w:val="5C8D6742"/>
    <w:rsid w:val="5C8E2CEF"/>
    <w:rsid w:val="5C8F3AF6"/>
    <w:rsid w:val="5CAD6653"/>
    <w:rsid w:val="5CB84210"/>
    <w:rsid w:val="5CC21F60"/>
    <w:rsid w:val="5CC3063A"/>
    <w:rsid w:val="5CD526CC"/>
    <w:rsid w:val="5CD6186D"/>
    <w:rsid w:val="5CE57227"/>
    <w:rsid w:val="5CE71579"/>
    <w:rsid w:val="5CF6124B"/>
    <w:rsid w:val="5CFB06F8"/>
    <w:rsid w:val="5D07069B"/>
    <w:rsid w:val="5D133417"/>
    <w:rsid w:val="5D192C0B"/>
    <w:rsid w:val="5D1A238B"/>
    <w:rsid w:val="5D2141FC"/>
    <w:rsid w:val="5D283143"/>
    <w:rsid w:val="5D292A17"/>
    <w:rsid w:val="5D296EBB"/>
    <w:rsid w:val="5D30024A"/>
    <w:rsid w:val="5D301764"/>
    <w:rsid w:val="5D3F50E3"/>
    <w:rsid w:val="5D47326D"/>
    <w:rsid w:val="5D526412"/>
    <w:rsid w:val="5D592B21"/>
    <w:rsid w:val="5D626FBA"/>
    <w:rsid w:val="5D671DF5"/>
    <w:rsid w:val="5D87261B"/>
    <w:rsid w:val="5D891708"/>
    <w:rsid w:val="5D8B36D2"/>
    <w:rsid w:val="5D8E3462"/>
    <w:rsid w:val="5DA14CA4"/>
    <w:rsid w:val="5DAE0ADA"/>
    <w:rsid w:val="5DB12FCE"/>
    <w:rsid w:val="5DB93D9B"/>
    <w:rsid w:val="5DD961EC"/>
    <w:rsid w:val="5DDA3CF8"/>
    <w:rsid w:val="5DE80ECD"/>
    <w:rsid w:val="5DF738C4"/>
    <w:rsid w:val="5DFB6770"/>
    <w:rsid w:val="5DFC3ACA"/>
    <w:rsid w:val="5DFE030A"/>
    <w:rsid w:val="5E082AC2"/>
    <w:rsid w:val="5E082F75"/>
    <w:rsid w:val="5E0D6B8F"/>
    <w:rsid w:val="5E1218B2"/>
    <w:rsid w:val="5E1A2B37"/>
    <w:rsid w:val="5E2C4052"/>
    <w:rsid w:val="5E2D5C63"/>
    <w:rsid w:val="5E320395"/>
    <w:rsid w:val="5E406CA8"/>
    <w:rsid w:val="5E4E4A04"/>
    <w:rsid w:val="5E55479B"/>
    <w:rsid w:val="5E6006BB"/>
    <w:rsid w:val="5E647186"/>
    <w:rsid w:val="5E6957C1"/>
    <w:rsid w:val="5E6A6AA9"/>
    <w:rsid w:val="5E733DDF"/>
    <w:rsid w:val="5E7859BA"/>
    <w:rsid w:val="5E7A79CF"/>
    <w:rsid w:val="5E7B3A47"/>
    <w:rsid w:val="5E807125"/>
    <w:rsid w:val="5E8204AF"/>
    <w:rsid w:val="5E886BC6"/>
    <w:rsid w:val="5E8C14B0"/>
    <w:rsid w:val="5E8E347A"/>
    <w:rsid w:val="5E8F0FA0"/>
    <w:rsid w:val="5E9E2432"/>
    <w:rsid w:val="5EA67161"/>
    <w:rsid w:val="5EAA781E"/>
    <w:rsid w:val="5EAE58CA"/>
    <w:rsid w:val="5EAF7506"/>
    <w:rsid w:val="5EB822A5"/>
    <w:rsid w:val="5EBD5B0D"/>
    <w:rsid w:val="5ECA58F1"/>
    <w:rsid w:val="5ECE3876"/>
    <w:rsid w:val="5ED30E8D"/>
    <w:rsid w:val="5ED42FD0"/>
    <w:rsid w:val="5EDC3B43"/>
    <w:rsid w:val="5EE72B8A"/>
    <w:rsid w:val="5EEB267A"/>
    <w:rsid w:val="5EEC63F2"/>
    <w:rsid w:val="5EEF54D0"/>
    <w:rsid w:val="5EF20654"/>
    <w:rsid w:val="5EFE7EFE"/>
    <w:rsid w:val="5EFF5F77"/>
    <w:rsid w:val="5F0E0117"/>
    <w:rsid w:val="5F17346F"/>
    <w:rsid w:val="5F230066"/>
    <w:rsid w:val="5F2C4DA2"/>
    <w:rsid w:val="5F3C2ED6"/>
    <w:rsid w:val="5F3E2D07"/>
    <w:rsid w:val="5F443B39"/>
    <w:rsid w:val="5F4671F0"/>
    <w:rsid w:val="5F4706E8"/>
    <w:rsid w:val="5F4D50C3"/>
    <w:rsid w:val="5F514C42"/>
    <w:rsid w:val="5F553F98"/>
    <w:rsid w:val="5F555D46"/>
    <w:rsid w:val="5F56421A"/>
    <w:rsid w:val="5F677AED"/>
    <w:rsid w:val="5F781673"/>
    <w:rsid w:val="5F7C7776"/>
    <w:rsid w:val="5F7F5732"/>
    <w:rsid w:val="5F881C77"/>
    <w:rsid w:val="5F954394"/>
    <w:rsid w:val="5F9A5549"/>
    <w:rsid w:val="5FA36AB1"/>
    <w:rsid w:val="5FB40CBE"/>
    <w:rsid w:val="5FB44D50"/>
    <w:rsid w:val="5FB54A36"/>
    <w:rsid w:val="5FB63EE4"/>
    <w:rsid w:val="5FC24199"/>
    <w:rsid w:val="5FC3294B"/>
    <w:rsid w:val="5FCB223C"/>
    <w:rsid w:val="5FD824A3"/>
    <w:rsid w:val="5FE84E0C"/>
    <w:rsid w:val="5FF901DA"/>
    <w:rsid w:val="6008702C"/>
    <w:rsid w:val="6011624C"/>
    <w:rsid w:val="60377F79"/>
    <w:rsid w:val="603E7E78"/>
    <w:rsid w:val="604B7E6A"/>
    <w:rsid w:val="60591866"/>
    <w:rsid w:val="605C5E60"/>
    <w:rsid w:val="605C718C"/>
    <w:rsid w:val="606357EF"/>
    <w:rsid w:val="60694CDF"/>
    <w:rsid w:val="60714E01"/>
    <w:rsid w:val="60730B79"/>
    <w:rsid w:val="607A733B"/>
    <w:rsid w:val="608A42BB"/>
    <w:rsid w:val="608D24FC"/>
    <w:rsid w:val="60AC4949"/>
    <w:rsid w:val="60AE3960"/>
    <w:rsid w:val="60BF46CF"/>
    <w:rsid w:val="60C50CA9"/>
    <w:rsid w:val="60D62EB6"/>
    <w:rsid w:val="60E5134B"/>
    <w:rsid w:val="60F35DA0"/>
    <w:rsid w:val="60FE43B8"/>
    <w:rsid w:val="610A3AAB"/>
    <w:rsid w:val="61113849"/>
    <w:rsid w:val="611179AC"/>
    <w:rsid w:val="61163352"/>
    <w:rsid w:val="612F58AA"/>
    <w:rsid w:val="61345DCA"/>
    <w:rsid w:val="613E2DAE"/>
    <w:rsid w:val="61411D38"/>
    <w:rsid w:val="614D13CA"/>
    <w:rsid w:val="61507F29"/>
    <w:rsid w:val="615362B5"/>
    <w:rsid w:val="61572FDD"/>
    <w:rsid w:val="615B5D9D"/>
    <w:rsid w:val="61664D00"/>
    <w:rsid w:val="616F2082"/>
    <w:rsid w:val="617013A8"/>
    <w:rsid w:val="61706E67"/>
    <w:rsid w:val="618446C0"/>
    <w:rsid w:val="6189456E"/>
    <w:rsid w:val="618C49CE"/>
    <w:rsid w:val="61946F5E"/>
    <w:rsid w:val="619475EC"/>
    <w:rsid w:val="61A16C75"/>
    <w:rsid w:val="61A85563"/>
    <w:rsid w:val="61B027E8"/>
    <w:rsid w:val="61B256D1"/>
    <w:rsid w:val="61B72CE8"/>
    <w:rsid w:val="61F212C0"/>
    <w:rsid w:val="61F21A78"/>
    <w:rsid w:val="61FB296E"/>
    <w:rsid w:val="62071223"/>
    <w:rsid w:val="62083089"/>
    <w:rsid w:val="62092E18"/>
    <w:rsid w:val="620D2908"/>
    <w:rsid w:val="623106E2"/>
    <w:rsid w:val="623539CF"/>
    <w:rsid w:val="623E51B7"/>
    <w:rsid w:val="62426A55"/>
    <w:rsid w:val="62453B22"/>
    <w:rsid w:val="624676A1"/>
    <w:rsid w:val="625C0D21"/>
    <w:rsid w:val="6263064E"/>
    <w:rsid w:val="626D0920"/>
    <w:rsid w:val="626D4084"/>
    <w:rsid w:val="627110E9"/>
    <w:rsid w:val="627A2F3C"/>
    <w:rsid w:val="627C220D"/>
    <w:rsid w:val="62866B8B"/>
    <w:rsid w:val="62990F23"/>
    <w:rsid w:val="629923ED"/>
    <w:rsid w:val="62AF6285"/>
    <w:rsid w:val="62B40C5B"/>
    <w:rsid w:val="62B62739"/>
    <w:rsid w:val="62B965EC"/>
    <w:rsid w:val="62BC3D1D"/>
    <w:rsid w:val="62BD29F6"/>
    <w:rsid w:val="62BE3C02"/>
    <w:rsid w:val="62C236F2"/>
    <w:rsid w:val="62C456BC"/>
    <w:rsid w:val="62C82C62"/>
    <w:rsid w:val="62CC27C3"/>
    <w:rsid w:val="62D80A3D"/>
    <w:rsid w:val="62DC4D56"/>
    <w:rsid w:val="62F834F6"/>
    <w:rsid w:val="62FB1D49"/>
    <w:rsid w:val="62FD0F2A"/>
    <w:rsid w:val="63047C7C"/>
    <w:rsid w:val="630A7C79"/>
    <w:rsid w:val="630C0E11"/>
    <w:rsid w:val="63161E85"/>
    <w:rsid w:val="63170D5B"/>
    <w:rsid w:val="631A5FAF"/>
    <w:rsid w:val="63241441"/>
    <w:rsid w:val="632812E5"/>
    <w:rsid w:val="63365E8E"/>
    <w:rsid w:val="633D4942"/>
    <w:rsid w:val="634A78C1"/>
    <w:rsid w:val="634C56B2"/>
    <w:rsid w:val="63556314"/>
    <w:rsid w:val="6356208C"/>
    <w:rsid w:val="635B6CEE"/>
    <w:rsid w:val="635D500A"/>
    <w:rsid w:val="635F3775"/>
    <w:rsid w:val="637179C1"/>
    <w:rsid w:val="637623B5"/>
    <w:rsid w:val="637761B7"/>
    <w:rsid w:val="637D7D53"/>
    <w:rsid w:val="63807109"/>
    <w:rsid w:val="638210D3"/>
    <w:rsid w:val="63AF718C"/>
    <w:rsid w:val="63B31C92"/>
    <w:rsid w:val="63B67D37"/>
    <w:rsid w:val="63BA4B4E"/>
    <w:rsid w:val="63BA6385"/>
    <w:rsid w:val="63BB618D"/>
    <w:rsid w:val="63CB423B"/>
    <w:rsid w:val="63D25099"/>
    <w:rsid w:val="63D40A38"/>
    <w:rsid w:val="63DDB08A"/>
    <w:rsid w:val="63E92F01"/>
    <w:rsid w:val="63EC4BF8"/>
    <w:rsid w:val="63F802C6"/>
    <w:rsid w:val="63F82185"/>
    <w:rsid w:val="64175CC0"/>
    <w:rsid w:val="641937E6"/>
    <w:rsid w:val="641E704E"/>
    <w:rsid w:val="6424218B"/>
    <w:rsid w:val="642E5A00"/>
    <w:rsid w:val="643C4C51"/>
    <w:rsid w:val="644B3C9B"/>
    <w:rsid w:val="644F26F5"/>
    <w:rsid w:val="646B1B68"/>
    <w:rsid w:val="646C3855"/>
    <w:rsid w:val="647000DB"/>
    <w:rsid w:val="647117BD"/>
    <w:rsid w:val="64721127"/>
    <w:rsid w:val="647D1907"/>
    <w:rsid w:val="64826DE3"/>
    <w:rsid w:val="648F3CAE"/>
    <w:rsid w:val="64992502"/>
    <w:rsid w:val="649E55F6"/>
    <w:rsid w:val="64A822A8"/>
    <w:rsid w:val="64A91E45"/>
    <w:rsid w:val="64B55BD0"/>
    <w:rsid w:val="64C06238"/>
    <w:rsid w:val="64CC6AAA"/>
    <w:rsid w:val="64CD6821"/>
    <w:rsid w:val="64D97346"/>
    <w:rsid w:val="64E20214"/>
    <w:rsid w:val="64EF4547"/>
    <w:rsid w:val="64F16511"/>
    <w:rsid w:val="64F9355E"/>
    <w:rsid w:val="64F9713C"/>
    <w:rsid w:val="64FA606F"/>
    <w:rsid w:val="65041C3F"/>
    <w:rsid w:val="651D0A36"/>
    <w:rsid w:val="65293EFC"/>
    <w:rsid w:val="652F7578"/>
    <w:rsid w:val="653813DE"/>
    <w:rsid w:val="65390F50"/>
    <w:rsid w:val="6546685C"/>
    <w:rsid w:val="65473200"/>
    <w:rsid w:val="65532865"/>
    <w:rsid w:val="655445C6"/>
    <w:rsid w:val="65554CF2"/>
    <w:rsid w:val="655D1663"/>
    <w:rsid w:val="655F347A"/>
    <w:rsid w:val="6568183F"/>
    <w:rsid w:val="656B602F"/>
    <w:rsid w:val="656C0A67"/>
    <w:rsid w:val="657038D9"/>
    <w:rsid w:val="657131AE"/>
    <w:rsid w:val="65753523"/>
    <w:rsid w:val="65802E2F"/>
    <w:rsid w:val="658A39D6"/>
    <w:rsid w:val="658E3D60"/>
    <w:rsid w:val="65982E30"/>
    <w:rsid w:val="659B15ED"/>
    <w:rsid w:val="659F1EF0"/>
    <w:rsid w:val="65A76BCF"/>
    <w:rsid w:val="65AB4911"/>
    <w:rsid w:val="65B33FD1"/>
    <w:rsid w:val="65B5753E"/>
    <w:rsid w:val="65B67CA7"/>
    <w:rsid w:val="65C37EAD"/>
    <w:rsid w:val="65CE0600"/>
    <w:rsid w:val="65D47024"/>
    <w:rsid w:val="65D746C8"/>
    <w:rsid w:val="66024CEF"/>
    <w:rsid w:val="66031482"/>
    <w:rsid w:val="660D1128"/>
    <w:rsid w:val="662B15AE"/>
    <w:rsid w:val="662B7A28"/>
    <w:rsid w:val="662E3847"/>
    <w:rsid w:val="663305D1"/>
    <w:rsid w:val="665135D2"/>
    <w:rsid w:val="66585D7A"/>
    <w:rsid w:val="665A05EA"/>
    <w:rsid w:val="665E1984"/>
    <w:rsid w:val="66600AC3"/>
    <w:rsid w:val="66644C16"/>
    <w:rsid w:val="6674316B"/>
    <w:rsid w:val="66773ABE"/>
    <w:rsid w:val="6679056C"/>
    <w:rsid w:val="667967BE"/>
    <w:rsid w:val="667E56CE"/>
    <w:rsid w:val="668313EA"/>
    <w:rsid w:val="668D4017"/>
    <w:rsid w:val="66A812E3"/>
    <w:rsid w:val="66A850FD"/>
    <w:rsid w:val="66B00427"/>
    <w:rsid w:val="66B8423E"/>
    <w:rsid w:val="66B942E1"/>
    <w:rsid w:val="66BB5C00"/>
    <w:rsid w:val="66C13CC1"/>
    <w:rsid w:val="66C77520"/>
    <w:rsid w:val="66CC0FE3"/>
    <w:rsid w:val="66CD4A9F"/>
    <w:rsid w:val="66D41328"/>
    <w:rsid w:val="66D519FA"/>
    <w:rsid w:val="66DB3A1E"/>
    <w:rsid w:val="66DD26E1"/>
    <w:rsid w:val="66DF5748"/>
    <w:rsid w:val="66E84FBD"/>
    <w:rsid w:val="66F12247"/>
    <w:rsid w:val="66FE4F15"/>
    <w:rsid w:val="67042B58"/>
    <w:rsid w:val="670C04C4"/>
    <w:rsid w:val="670D6F06"/>
    <w:rsid w:val="67171475"/>
    <w:rsid w:val="672229B1"/>
    <w:rsid w:val="6726366A"/>
    <w:rsid w:val="672965CB"/>
    <w:rsid w:val="672C6B00"/>
    <w:rsid w:val="672F33B8"/>
    <w:rsid w:val="67334BBF"/>
    <w:rsid w:val="67395F4D"/>
    <w:rsid w:val="67423054"/>
    <w:rsid w:val="674A63AC"/>
    <w:rsid w:val="674E72A2"/>
    <w:rsid w:val="67582877"/>
    <w:rsid w:val="675A65EF"/>
    <w:rsid w:val="676236F6"/>
    <w:rsid w:val="676677EB"/>
    <w:rsid w:val="676F18AC"/>
    <w:rsid w:val="677C73DD"/>
    <w:rsid w:val="677E3C9C"/>
    <w:rsid w:val="67852F40"/>
    <w:rsid w:val="67894076"/>
    <w:rsid w:val="678F28A4"/>
    <w:rsid w:val="679118E5"/>
    <w:rsid w:val="67936FDB"/>
    <w:rsid w:val="679D4C73"/>
    <w:rsid w:val="679E7BC5"/>
    <w:rsid w:val="679E7EBF"/>
    <w:rsid w:val="67A50DE8"/>
    <w:rsid w:val="67B66935"/>
    <w:rsid w:val="67BC1058"/>
    <w:rsid w:val="67C064FF"/>
    <w:rsid w:val="67CE84B4"/>
    <w:rsid w:val="67D23A72"/>
    <w:rsid w:val="67D30150"/>
    <w:rsid w:val="67E6606F"/>
    <w:rsid w:val="67ED7463"/>
    <w:rsid w:val="67F0485E"/>
    <w:rsid w:val="67F26828"/>
    <w:rsid w:val="67F4200D"/>
    <w:rsid w:val="683232E9"/>
    <w:rsid w:val="684828EC"/>
    <w:rsid w:val="684D3429"/>
    <w:rsid w:val="685A6ACB"/>
    <w:rsid w:val="687E455F"/>
    <w:rsid w:val="688A6C2A"/>
    <w:rsid w:val="688E46F6"/>
    <w:rsid w:val="689C5261"/>
    <w:rsid w:val="68AB6E90"/>
    <w:rsid w:val="68AC6FF7"/>
    <w:rsid w:val="68B83031"/>
    <w:rsid w:val="68CB384A"/>
    <w:rsid w:val="68DE0B5A"/>
    <w:rsid w:val="68E65C61"/>
    <w:rsid w:val="68F416F5"/>
    <w:rsid w:val="68F61E52"/>
    <w:rsid w:val="68F92EFA"/>
    <w:rsid w:val="690131CA"/>
    <w:rsid w:val="69054339"/>
    <w:rsid w:val="690A7BA1"/>
    <w:rsid w:val="69184028"/>
    <w:rsid w:val="69201173"/>
    <w:rsid w:val="69224EEB"/>
    <w:rsid w:val="69265976"/>
    <w:rsid w:val="69270753"/>
    <w:rsid w:val="693745C0"/>
    <w:rsid w:val="6945521B"/>
    <w:rsid w:val="694906EF"/>
    <w:rsid w:val="695D5472"/>
    <w:rsid w:val="6971789E"/>
    <w:rsid w:val="697D5817"/>
    <w:rsid w:val="698D59F6"/>
    <w:rsid w:val="698F094F"/>
    <w:rsid w:val="699567C0"/>
    <w:rsid w:val="699B7E83"/>
    <w:rsid w:val="699F545B"/>
    <w:rsid w:val="69A432CB"/>
    <w:rsid w:val="69AF0748"/>
    <w:rsid w:val="69B33D95"/>
    <w:rsid w:val="69C71740"/>
    <w:rsid w:val="69D865C9"/>
    <w:rsid w:val="69DB1B46"/>
    <w:rsid w:val="69EF5C43"/>
    <w:rsid w:val="69F24F0E"/>
    <w:rsid w:val="69F5476D"/>
    <w:rsid w:val="69FF522C"/>
    <w:rsid w:val="6A0445F0"/>
    <w:rsid w:val="6A081048"/>
    <w:rsid w:val="6A0C4A59"/>
    <w:rsid w:val="6A0D5B9B"/>
    <w:rsid w:val="6A2014CC"/>
    <w:rsid w:val="6A387A32"/>
    <w:rsid w:val="6A3F7D1E"/>
    <w:rsid w:val="6A415844"/>
    <w:rsid w:val="6A5512F0"/>
    <w:rsid w:val="6A576E16"/>
    <w:rsid w:val="6A577A5F"/>
    <w:rsid w:val="6A5B290B"/>
    <w:rsid w:val="6A5C442C"/>
    <w:rsid w:val="6A5D1F52"/>
    <w:rsid w:val="6A5E35BB"/>
    <w:rsid w:val="6A670C2D"/>
    <w:rsid w:val="6A67513A"/>
    <w:rsid w:val="6A6E721F"/>
    <w:rsid w:val="6A711A96"/>
    <w:rsid w:val="6A7417D1"/>
    <w:rsid w:val="6A7756BF"/>
    <w:rsid w:val="6A837C0B"/>
    <w:rsid w:val="6A8B6AC0"/>
    <w:rsid w:val="6A955FB4"/>
    <w:rsid w:val="6A9736B6"/>
    <w:rsid w:val="6A977357"/>
    <w:rsid w:val="6AA01F77"/>
    <w:rsid w:val="6AA54025"/>
    <w:rsid w:val="6AAA163C"/>
    <w:rsid w:val="6AAB719C"/>
    <w:rsid w:val="6AAD2EDA"/>
    <w:rsid w:val="6AB54047"/>
    <w:rsid w:val="6AC33B1D"/>
    <w:rsid w:val="6AC51CCB"/>
    <w:rsid w:val="6ACA5C0D"/>
    <w:rsid w:val="6AD20775"/>
    <w:rsid w:val="6AD23ECA"/>
    <w:rsid w:val="6AD94627"/>
    <w:rsid w:val="6ADA35A3"/>
    <w:rsid w:val="6ADC4350"/>
    <w:rsid w:val="6AE03A39"/>
    <w:rsid w:val="6AEB3E0A"/>
    <w:rsid w:val="6AED132E"/>
    <w:rsid w:val="6AF939C4"/>
    <w:rsid w:val="6B074B1F"/>
    <w:rsid w:val="6B0B19AE"/>
    <w:rsid w:val="6B1747F7"/>
    <w:rsid w:val="6B1A6611"/>
    <w:rsid w:val="6B2313EE"/>
    <w:rsid w:val="6B272C8C"/>
    <w:rsid w:val="6B286D35"/>
    <w:rsid w:val="6B2F7474"/>
    <w:rsid w:val="6B4B6221"/>
    <w:rsid w:val="6B5275DD"/>
    <w:rsid w:val="6B550EE4"/>
    <w:rsid w:val="6B551153"/>
    <w:rsid w:val="6B601CFA"/>
    <w:rsid w:val="6B60291F"/>
    <w:rsid w:val="6B621F16"/>
    <w:rsid w:val="6B6317EA"/>
    <w:rsid w:val="6B695A61"/>
    <w:rsid w:val="6B7E5284"/>
    <w:rsid w:val="6B7F12E5"/>
    <w:rsid w:val="6B9876E6"/>
    <w:rsid w:val="6B9A5E05"/>
    <w:rsid w:val="6BC74F83"/>
    <w:rsid w:val="6BCA7CE5"/>
    <w:rsid w:val="6BD050D2"/>
    <w:rsid w:val="6BE566A3"/>
    <w:rsid w:val="6BE71F21"/>
    <w:rsid w:val="6BEB37A4"/>
    <w:rsid w:val="6BEB6C21"/>
    <w:rsid w:val="6BF84629"/>
    <w:rsid w:val="6BFF3766"/>
    <w:rsid w:val="6C0D6C5C"/>
    <w:rsid w:val="6C0E79A8"/>
    <w:rsid w:val="6C103720"/>
    <w:rsid w:val="6C2009A5"/>
    <w:rsid w:val="6C2A0354"/>
    <w:rsid w:val="6C301294"/>
    <w:rsid w:val="6C303DC2"/>
    <w:rsid w:val="6C3311BD"/>
    <w:rsid w:val="6C3478CD"/>
    <w:rsid w:val="6C3618AD"/>
    <w:rsid w:val="6C3867D3"/>
    <w:rsid w:val="6C3D5F07"/>
    <w:rsid w:val="6C42473E"/>
    <w:rsid w:val="6C4C747C"/>
    <w:rsid w:val="6C4D2294"/>
    <w:rsid w:val="6C4E3951"/>
    <w:rsid w:val="6C581263"/>
    <w:rsid w:val="6C5E1602"/>
    <w:rsid w:val="6C62632E"/>
    <w:rsid w:val="6C657A6C"/>
    <w:rsid w:val="6C68176D"/>
    <w:rsid w:val="6C74085F"/>
    <w:rsid w:val="6C77637D"/>
    <w:rsid w:val="6C787F09"/>
    <w:rsid w:val="6C7930E8"/>
    <w:rsid w:val="6C833B9F"/>
    <w:rsid w:val="6C8A77B5"/>
    <w:rsid w:val="6C9003BD"/>
    <w:rsid w:val="6C921960"/>
    <w:rsid w:val="6C932279"/>
    <w:rsid w:val="6C932A0A"/>
    <w:rsid w:val="6CA239E5"/>
    <w:rsid w:val="6CB95102"/>
    <w:rsid w:val="6CC145A1"/>
    <w:rsid w:val="6CC31BCA"/>
    <w:rsid w:val="6CC91B21"/>
    <w:rsid w:val="6CCE266C"/>
    <w:rsid w:val="6CD17977"/>
    <w:rsid w:val="6CD55BA5"/>
    <w:rsid w:val="6CDF1362"/>
    <w:rsid w:val="6CF272CA"/>
    <w:rsid w:val="6CF569BB"/>
    <w:rsid w:val="6CF66F0A"/>
    <w:rsid w:val="6CF941B4"/>
    <w:rsid w:val="6CFF4A8E"/>
    <w:rsid w:val="6D056FFD"/>
    <w:rsid w:val="6D0A4613"/>
    <w:rsid w:val="6D126A78"/>
    <w:rsid w:val="6D250C09"/>
    <w:rsid w:val="6D267FC7"/>
    <w:rsid w:val="6D2D78DC"/>
    <w:rsid w:val="6D3261BF"/>
    <w:rsid w:val="6D34343E"/>
    <w:rsid w:val="6D371181"/>
    <w:rsid w:val="6D40759A"/>
    <w:rsid w:val="6D561607"/>
    <w:rsid w:val="6D5A7E24"/>
    <w:rsid w:val="6D611D5A"/>
    <w:rsid w:val="6D6261FE"/>
    <w:rsid w:val="6D636097"/>
    <w:rsid w:val="6D6C7AF5"/>
    <w:rsid w:val="6D6F26C8"/>
    <w:rsid w:val="6D7258C2"/>
    <w:rsid w:val="6D800432"/>
    <w:rsid w:val="6D8B1084"/>
    <w:rsid w:val="6D9B170F"/>
    <w:rsid w:val="6DA52336"/>
    <w:rsid w:val="6DA70F59"/>
    <w:rsid w:val="6DA84C66"/>
    <w:rsid w:val="6DAE2667"/>
    <w:rsid w:val="6DB70335"/>
    <w:rsid w:val="6DBE71AC"/>
    <w:rsid w:val="6DCB00C1"/>
    <w:rsid w:val="6DCF760B"/>
    <w:rsid w:val="6DD10C8D"/>
    <w:rsid w:val="6DD40F81"/>
    <w:rsid w:val="6DD961C2"/>
    <w:rsid w:val="6DE05374"/>
    <w:rsid w:val="6DE74896"/>
    <w:rsid w:val="6DEE7A91"/>
    <w:rsid w:val="6DFF6319"/>
    <w:rsid w:val="6E054DDB"/>
    <w:rsid w:val="6E0D14CB"/>
    <w:rsid w:val="6E132974"/>
    <w:rsid w:val="6E160D96"/>
    <w:rsid w:val="6E1D2124"/>
    <w:rsid w:val="6E280154"/>
    <w:rsid w:val="6E2C233E"/>
    <w:rsid w:val="6E2E7E8E"/>
    <w:rsid w:val="6E3427E2"/>
    <w:rsid w:val="6E386F5E"/>
    <w:rsid w:val="6E405E13"/>
    <w:rsid w:val="6E415A1D"/>
    <w:rsid w:val="6E421B8B"/>
    <w:rsid w:val="6E521EF6"/>
    <w:rsid w:val="6E5C5AE0"/>
    <w:rsid w:val="6E5F4CF0"/>
    <w:rsid w:val="6E6E472E"/>
    <w:rsid w:val="6E7A30D3"/>
    <w:rsid w:val="6E7FBBB3"/>
    <w:rsid w:val="6E8F6F59"/>
    <w:rsid w:val="6E8F7104"/>
    <w:rsid w:val="6E921340"/>
    <w:rsid w:val="6E99127C"/>
    <w:rsid w:val="6E9F7761"/>
    <w:rsid w:val="6EA12D56"/>
    <w:rsid w:val="6EA2087C"/>
    <w:rsid w:val="6EA43AB0"/>
    <w:rsid w:val="6EA877E0"/>
    <w:rsid w:val="6EAF7BAD"/>
    <w:rsid w:val="6EB43553"/>
    <w:rsid w:val="6EBB399A"/>
    <w:rsid w:val="6EBE56B6"/>
    <w:rsid w:val="6EDD00D9"/>
    <w:rsid w:val="6EDE6CE6"/>
    <w:rsid w:val="6EE0547B"/>
    <w:rsid w:val="6EED145C"/>
    <w:rsid w:val="6F024193"/>
    <w:rsid w:val="6F094457"/>
    <w:rsid w:val="6F0D14E6"/>
    <w:rsid w:val="6F106888"/>
    <w:rsid w:val="6F121759"/>
    <w:rsid w:val="6F183F8D"/>
    <w:rsid w:val="6F1C7BE8"/>
    <w:rsid w:val="6F1E4464"/>
    <w:rsid w:val="6F1F1ECC"/>
    <w:rsid w:val="6F20257D"/>
    <w:rsid w:val="6F235533"/>
    <w:rsid w:val="6F255735"/>
    <w:rsid w:val="6F290994"/>
    <w:rsid w:val="6F2968A7"/>
    <w:rsid w:val="6F2A51BA"/>
    <w:rsid w:val="6F2E3862"/>
    <w:rsid w:val="6F320296"/>
    <w:rsid w:val="6F345978"/>
    <w:rsid w:val="6F394D3C"/>
    <w:rsid w:val="6F3C108A"/>
    <w:rsid w:val="6F535109"/>
    <w:rsid w:val="6F5953DE"/>
    <w:rsid w:val="6F59718C"/>
    <w:rsid w:val="6F6A042B"/>
    <w:rsid w:val="6F6D2503"/>
    <w:rsid w:val="6F7D4DE5"/>
    <w:rsid w:val="6F822695"/>
    <w:rsid w:val="6F850583"/>
    <w:rsid w:val="6FA06623"/>
    <w:rsid w:val="6FA076F4"/>
    <w:rsid w:val="6FA7767B"/>
    <w:rsid w:val="6FAA5C3A"/>
    <w:rsid w:val="6FAF14A2"/>
    <w:rsid w:val="6FB11C40"/>
    <w:rsid w:val="6FB7716F"/>
    <w:rsid w:val="6FBA2A10"/>
    <w:rsid w:val="6FC075E2"/>
    <w:rsid w:val="6FC36CFC"/>
    <w:rsid w:val="6FC767EC"/>
    <w:rsid w:val="6FCF56A0"/>
    <w:rsid w:val="6FD90856"/>
    <w:rsid w:val="6FDF785E"/>
    <w:rsid w:val="6FE078AE"/>
    <w:rsid w:val="6FE27182"/>
    <w:rsid w:val="6FE413EE"/>
    <w:rsid w:val="6FF86FE0"/>
    <w:rsid w:val="6FFF45A9"/>
    <w:rsid w:val="70025AAB"/>
    <w:rsid w:val="700764E9"/>
    <w:rsid w:val="700D670E"/>
    <w:rsid w:val="701F2AB6"/>
    <w:rsid w:val="70223A22"/>
    <w:rsid w:val="7030070E"/>
    <w:rsid w:val="7031243E"/>
    <w:rsid w:val="70312D14"/>
    <w:rsid w:val="703B4EA9"/>
    <w:rsid w:val="705B724A"/>
    <w:rsid w:val="705F3213"/>
    <w:rsid w:val="70603E62"/>
    <w:rsid w:val="706D7F34"/>
    <w:rsid w:val="707757E9"/>
    <w:rsid w:val="7088004A"/>
    <w:rsid w:val="708A75F2"/>
    <w:rsid w:val="709661BE"/>
    <w:rsid w:val="709E0994"/>
    <w:rsid w:val="709E38C8"/>
    <w:rsid w:val="70A64653"/>
    <w:rsid w:val="70AD67FB"/>
    <w:rsid w:val="70AE52B6"/>
    <w:rsid w:val="70B16ADA"/>
    <w:rsid w:val="70B85EE8"/>
    <w:rsid w:val="70BB2CB9"/>
    <w:rsid w:val="70BB79D3"/>
    <w:rsid w:val="70C40F7D"/>
    <w:rsid w:val="70CC398E"/>
    <w:rsid w:val="70D20427"/>
    <w:rsid w:val="70DF5DB7"/>
    <w:rsid w:val="70E1568B"/>
    <w:rsid w:val="70E46F2A"/>
    <w:rsid w:val="70EA7945"/>
    <w:rsid w:val="71073668"/>
    <w:rsid w:val="71087567"/>
    <w:rsid w:val="710C57A0"/>
    <w:rsid w:val="711517D9"/>
    <w:rsid w:val="711C6CCC"/>
    <w:rsid w:val="712542A4"/>
    <w:rsid w:val="71265794"/>
    <w:rsid w:val="71290DE0"/>
    <w:rsid w:val="712C055E"/>
    <w:rsid w:val="712C142A"/>
    <w:rsid w:val="712F289B"/>
    <w:rsid w:val="7141437C"/>
    <w:rsid w:val="7141612A"/>
    <w:rsid w:val="71436346"/>
    <w:rsid w:val="71463740"/>
    <w:rsid w:val="71494FDF"/>
    <w:rsid w:val="714F7B27"/>
    <w:rsid w:val="715220E5"/>
    <w:rsid w:val="71587675"/>
    <w:rsid w:val="71673ECA"/>
    <w:rsid w:val="716D3E1F"/>
    <w:rsid w:val="71734302"/>
    <w:rsid w:val="71780344"/>
    <w:rsid w:val="71831A66"/>
    <w:rsid w:val="71893931"/>
    <w:rsid w:val="7193577D"/>
    <w:rsid w:val="719919E6"/>
    <w:rsid w:val="719922CE"/>
    <w:rsid w:val="719961D5"/>
    <w:rsid w:val="71A072F4"/>
    <w:rsid w:val="71AD1A11"/>
    <w:rsid w:val="71B613F3"/>
    <w:rsid w:val="71B7463E"/>
    <w:rsid w:val="71BA14C6"/>
    <w:rsid w:val="71D13952"/>
    <w:rsid w:val="71ED0060"/>
    <w:rsid w:val="71F17B50"/>
    <w:rsid w:val="7203100F"/>
    <w:rsid w:val="72123615"/>
    <w:rsid w:val="72255A4C"/>
    <w:rsid w:val="72430641"/>
    <w:rsid w:val="727D0E83"/>
    <w:rsid w:val="72802C82"/>
    <w:rsid w:val="728F19EB"/>
    <w:rsid w:val="729B5410"/>
    <w:rsid w:val="72A5093A"/>
    <w:rsid w:val="72AA5244"/>
    <w:rsid w:val="72AB07A1"/>
    <w:rsid w:val="72AC1EFD"/>
    <w:rsid w:val="72B03567"/>
    <w:rsid w:val="72B1108D"/>
    <w:rsid w:val="72BA2638"/>
    <w:rsid w:val="72C01F16"/>
    <w:rsid w:val="72CA1913"/>
    <w:rsid w:val="72CC324D"/>
    <w:rsid w:val="72D637EF"/>
    <w:rsid w:val="72EA0328"/>
    <w:rsid w:val="72EB459F"/>
    <w:rsid w:val="72ED1333"/>
    <w:rsid w:val="72F0605A"/>
    <w:rsid w:val="72F84230"/>
    <w:rsid w:val="72FA4924"/>
    <w:rsid w:val="73024013"/>
    <w:rsid w:val="73102258"/>
    <w:rsid w:val="731D1633"/>
    <w:rsid w:val="732137C7"/>
    <w:rsid w:val="73265FF8"/>
    <w:rsid w:val="7329331A"/>
    <w:rsid w:val="732D2E0A"/>
    <w:rsid w:val="7331681E"/>
    <w:rsid w:val="73375A36"/>
    <w:rsid w:val="733970B1"/>
    <w:rsid w:val="733A6CF7"/>
    <w:rsid w:val="733E1484"/>
    <w:rsid w:val="7344573B"/>
    <w:rsid w:val="735332E2"/>
    <w:rsid w:val="73574A7B"/>
    <w:rsid w:val="737223B9"/>
    <w:rsid w:val="737C169B"/>
    <w:rsid w:val="739172BD"/>
    <w:rsid w:val="73951CC7"/>
    <w:rsid w:val="73975C48"/>
    <w:rsid w:val="73994AFE"/>
    <w:rsid w:val="739B289E"/>
    <w:rsid w:val="73AE68AC"/>
    <w:rsid w:val="73B2237F"/>
    <w:rsid w:val="73B2330F"/>
    <w:rsid w:val="73B33325"/>
    <w:rsid w:val="73BC4FA2"/>
    <w:rsid w:val="73C11D7D"/>
    <w:rsid w:val="73C62156"/>
    <w:rsid w:val="73C800F3"/>
    <w:rsid w:val="73CB43D1"/>
    <w:rsid w:val="73CD19D9"/>
    <w:rsid w:val="73DE4104"/>
    <w:rsid w:val="73E84F83"/>
    <w:rsid w:val="73E86D31"/>
    <w:rsid w:val="73EB241B"/>
    <w:rsid w:val="73EB4F50"/>
    <w:rsid w:val="73EF3D7E"/>
    <w:rsid w:val="73EF64C2"/>
    <w:rsid w:val="73F47FAE"/>
    <w:rsid w:val="73F94F64"/>
    <w:rsid w:val="73FC27DC"/>
    <w:rsid w:val="73FF4FB0"/>
    <w:rsid w:val="74136786"/>
    <w:rsid w:val="74154150"/>
    <w:rsid w:val="74165326"/>
    <w:rsid w:val="7430612A"/>
    <w:rsid w:val="74365E19"/>
    <w:rsid w:val="7448355A"/>
    <w:rsid w:val="7456013E"/>
    <w:rsid w:val="745C0F4C"/>
    <w:rsid w:val="746433EE"/>
    <w:rsid w:val="747F495B"/>
    <w:rsid w:val="74822CE1"/>
    <w:rsid w:val="748A31AB"/>
    <w:rsid w:val="74963815"/>
    <w:rsid w:val="74996A8A"/>
    <w:rsid w:val="749E3893"/>
    <w:rsid w:val="74BB05FD"/>
    <w:rsid w:val="74BC5799"/>
    <w:rsid w:val="74BE142F"/>
    <w:rsid w:val="74C27582"/>
    <w:rsid w:val="74C2766D"/>
    <w:rsid w:val="74C315BE"/>
    <w:rsid w:val="74C4779E"/>
    <w:rsid w:val="74CA3FEF"/>
    <w:rsid w:val="74D509EB"/>
    <w:rsid w:val="74DC4BA8"/>
    <w:rsid w:val="74DE3871"/>
    <w:rsid w:val="74FB0742"/>
    <w:rsid w:val="751A5610"/>
    <w:rsid w:val="75263C50"/>
    <w:rsid w:val="75357D54"/>
    <w:rsid w:val="75383CE8"/>
    <w:rsid w:val="75406992"/>
    <w:rsid w:val="75643DCF"/>
    <w:rsid w:val="756F02F3"/>
    <w:rsid w:val="75836A21"/>
    <w:rsid w:val="75864A53"/>
    <w:rsid w:val="758924A5"/>
    <w:rsid w:val="75916AFD"/>
    <w:rsid w:val="75976FE3"/>
    <w:rsid w:val="75AC168E"/>
    <w:rsid w:val="75B0387E"/>
    <w:rsid w:val="75B74C0D"/>
    <w:rsid w:val="75CE7F40"/>
    <w:rsid w:val="75D57A0A"/>
    <w:rsid w:val="75E1612D"/>
    <w:rsid w:val="75E55C1E"/>
    <w:rsid w:val="75E74553"/>
    <w:rsid w:val="75FC6AC3"/>
    <w:rsid w:val="76031AA1"/>
    <w:rsid w:val="76032C88"/>
    <w:rsid w:val="7608190C"/>
    <w:rsid w:val="76086EEC"/>
    <w:rsid w:val="760C205E"/>
    <w:rsid w:val="7610256F"/>
    <w:rsid w:val="761052BE"/>
    <w:rsid w:val="761D2E3A"/>
    <w:rsid w:val="76281635"/>
    <w:rsid w:val="76345386"/>
    <w:rsid w:val="76375AC5"/>
    <w:rsid w:val="76494741"/>
    <w:rsid w:val="764A1778"/>
    <w:rsid w:val="764C17F9"/>
    <w:rsid w:val="765246D1"/>
    <w:rsid w:val="766A39C6"/>
    <w:rsid w:val="766A46C0"/>
    <w:rsid w:val="766B233D"/>
    <w:rsid w:val="766D6674"/>
    <w:rsid w:val="766E5C13"/>
    <w:rsid w:val="76701283"/>
    <w:rsid w:val="767174B1"/>
    <w:rsid w:val="76733229"/>
    <w:rsid w:val="767E397C"/>
    <w:rsid w:val="767E481D"/>
    <w:rsid w:val="7682346D"/>
    <w:rsid w:val="76911902"/>
    <w:rsid w:val="7693567A"/>
    <w:rsid w:val="76936A60"/>
    <w:rsid w:val="76A41433"/>
    <w:rsid w:val="76A50F09"/>
    <w:rsid w:val="76A75DED"/>
    <w:rsid w:val="76AE0369"/>
    <w:rsid w:val="76AE6010"/>
    <w:rsid w:val="76AF755B"/>
    <w:rsid w:val="76B31878"/>
    <w:rsid w:val="76BA4918"/>
    <w:rsid w:val="76BB072D"/>
    <w:rsid w:val="76BD2CEF"/>
    <w:rsid w:val="76BE1FCB"/>
    <w:rsid w:val="76C2443B"/>
    <w:rsid w:val="76C55465"/>
    <w:rsid w:val="76CB3AC4"/>
    <w:rsid w:val="76DB396C"/>
    <w:rsid w:val="76E00B2A"/>
    <w:rsid w:val="76E4451C"/>
    <w:rsid w:val="76F11B3E"/>
    <w:rsid w:val="76F179E9"/>
    <w:rsid w:val="77057BFA"/>
    <w:rsid w:val="770E6AAE"/>
    <w:rsid w:val="770F5167"/>
    <w:rsid w:val="7710046E"/>
    <w:rsid w:val="771B741D"/>
    <w:rsid w:val="7722255A"/>
    <w:rsid w:val="772B58B2"/>
    <w:rsid w:val="772E53A2"/>
    <w:rsid w:val="773724A9"/>
    <w:rsid w:val="77376F40"/>
    <w:rsid w:val="77515C1D"/>
    <w:rsid w:val="7766184F"/>
    <w:rsid w:val="776B4413"/>
    <w:rsid w:val="776E1379"/>
    <w:rsid w:val="7778661E"/>
    <w:rsid w:val="77822FF8"/>
    <w:rsid w:val="778B00FF"/>
    <w:rsid w:val="77955421"/>
    <w:rsid w:val="779C4876"/>
    <w:rsid w:val="77A33638"/>
    <w:rsid w:val="77AF5E83"/>
    <w:rsid w:val="77B2641F"/>
    <w:rsid w:val="77B67913"/>
    <w:rsid w:val="77BE3DA1"/>
    <w:rsid w:val="77C33D3D"/>
    <w:rsid w:val="77CB499F"/>
    <w:rsid w:val="77D31AA6"/>
    <w:rsid w:val="77D53A70"/>
    <w:rsid w:val="77D548A6"/>
    <w:rsid w:val="77D84854"/>
    <w:rsid w:val="77DB72D8"/>
    <w:rsid w:val="77DC613C"/>
    <w:rsid w:val="77DE2925"/>
    <w:rsid w:val="77DE3C89"/>
    <w:rsid w:val="77E94969"/>
    <w:rsid w:val="77EC3F27"/>
    <w:rsid w:val="77F04406"/>
    <w:rsid w:val="780954C8"/>
    <w:rsid w:val="780E2ADE"/>
    <w:rsid w:val="781D30C9"/>
    <w:rsid w:val="78202F3D"/>
    <w:rsid w:val="78205058"/>
    <w:rsid w:val="78270406"/>
    <w:rsid w:val="78287713"/>
    <w:rsid w:val="782943A4"/>
    <w:rsid w:val="782A3662"/>
    <w:rsid w:val="783D6567"/>
    <w:rsid w:val="78450ADC"/>
    <w:rsid w:val="784C4F10"/>
    <w:rsid w:val="785721B0"/>
    <w:rsid w:val="785F1568"/>
    <w:rsid w:val="786535DD"/>
    <w:rsid w:val="78774B27"/>
    <w:rsid w:val="789175C1"/>
    <w:rsid w:val="78A2640D"/>
    <w:rsid w:val="78A51694"/>
    <w:rsid w:val="78AC4AAF"/>
    <w:rsid w:val="78AD6D21"/>
    <w:rsid w:val="78AF42C1"/>
    <w:rsid w:val="78B43685"/>
    <w:rsid w:val="78B833D7"/>
    <w:rsid w:val="78C00D35"/>
    <w:rsid w:val="78C80EDF"/>
    <w:rsid w:val="78CF6711"/>
    <w:rsid w:val="78F61EF0"/>
    <w:rsid w:val="78F85C68"/>
    <w:rsid w:val="790C526F"/>
    <w:rsid w:val="7911162C"/>
    <w:rsid w:val="792B6137"/>
    <w:rsid w:val="792E2D2B"/>
    <w:rsid w:val="794D5FAC"/>
    <w:rsid w:val="794F1C7F"/>
    <w:rsid w:val="79621333"/>
    <w:rsid w:val="796C2776"/>
    <w:rsid w:val="79765FC4"/>
    <w:rsid w:val="797906C6"/>
    <w:rsid w:val="79907C4E"/>
    <w:rsid w:val="79935991"/>
    <w:rsid w:val="79980DCB"/>
    <w:rsid w:val="79A06EC4"/>
    <w:rsid w:val="79A33E26"/>
    <w:rsid w:val="79AE6F11"/>
    <w:rsid w:val="79B24069"/>
    <w:rsid w:val="79BE6899"/>
    <w:rsid w:val="79C97604"/>
    <w:rsid w:val="79CC2202"/>
    <w:rsid w:val="79D13656"/>
    <w:rsid w:val="79D42231"/>
    <w:rsid w:val="79DD4EA8"/>
    <w:rsid w:val="79DF0BD6"/>
    <w:rsid w:val="79E1494E"/>
    <w:rsid w:val="79E17F2B"/>
    <w:rsid w:val="79E774B1"/>
    <w:rsid w:val="79ED32F3"/>
    <w:rsid w:val="79F24465"/>
    <w:rsid w:val="79F60947"/>
    <w:rsid w:val="79FA27C6"/>
    <w:rsid w:val="7A0423EA"/>
    <w:rsid w:val="7A142EB2"/>
    <w:rsid w:val="7A1E2EAD"/>
    <w:rsid w:val="7A1E34AC"/>
    <w:rsid w:val="7A1E525A"/>
    <w:rsid w:val="7A3251AA"/>
    <w:rsid w:val="7A4B2030"/>
    <w:rsid w:val="7A4C6D65"/>
    <w:rsid w:val="7A5852B7"/>
    <w:rsid w:val="7A5856FC"/>
    <w:rsid w:val="7A5944E4"/>
    <w:rsid w:val="7A5A200A"/>
    <w:rsid w:val="7A5B5D4E"/>
    <w:rsid w:val="7A5F53DA"/>
    <w:rsid w:val="7A604261"/>
    <w:rsid w:val="7A733C63"/>
    <w:rsid w:val="7A862E00"/>
    <w:rsid w:val="7A881064"/>
    <w:rsid w:val="7A8A28F0"/>
    <w:rsid w:val="7A8C2B0C"/>
    <w:rsid w:val="7A8D7FF0"/>
    <w:rsid w:val="7AA67F94"/>
    <w:rsid w:val="7AB21E46"/>
    <w:rsid w:val="7AC11B0F"/>
    <w:rsid w:val="7AC51B7A"/>
    <w:rsid w:val="7AC55D6C"/>
    <w:rsid w:val="7AC676A0"/>
    <w:rsid w:val="7ACA53E2"/>
    <w:rsid w:val="7AD41DBD"/>
    <w:rsid w:val="7AE26A85"/>
    <w:rsid w:val="7AEC7106"/>
    <w:rsid w:val="7B002BB2"/>
    <w:rsid w:val="7B10276C"/>
    <w:rsid w:val="7B175B15"/>
    <w:rsid w:val="7B394D46"/>
    <w:rsid w:val="7B3B62E0"/>
    <w:rsid w:val="7B424F78"/>
    <w:rsid w:val="7B495B38"/>
    <w:rsid w:val="7B4A207F"/>
    <w:rsid w:val="7B520E83"/>
    <w:rsid w:val="7B551150"/>
    <w:rsid w:val="7B56512B"/>
    <w:rsid w:val="7B8C6B3B"/>
    <w:rsid w:val="7B9047E7"/>
    <w:rsid w:val="7B96031C"/>
    <w:rsid w:val="7B965756"/>
    <w:rsid w:val="7BA97C15"/>
    <w:rsid w:val="7BAC3FD8"/>
    <w:rsid w:val="7BAE0138"/>
    <w:rsid w:val="7BBA4C0B"/>
    <w:rsid w:val="7BC309A6"/>
    <w:rsid w:val="7BCC6709"/>
    <w:rsid w:val="7BCF0159"/>
    <w:rsid w:val="7BD65048"/>
    <w:rsid w:val="7BD65B73"/>
    <w:rsid w:val="7BDC717B"/>
    <w:rsid w:val="7BDD2B69"/>
    <w:rsid w:val="7BED63CF"/>
    <w:rsid w:val="7BF26619"/>
    <w:rsid w:val="7BF85F7F"/>
    <w:rsid w:val="7BFC00BD"/>
    <w:rsid w:val="7C0D1A2A"/>
    <w:rsid w:val="7C0E0CCC"/>
    <w:rsid w:val="7C182063"/>
    <w:rsid w:val="7C223BBF"/>
    <w:rsid w:val="7C234FC9"/>
    <w:rsid w:val="7C292DF1"/>
    <w:rsid w:val="7C294491"/>
    <w:rsid w:val="7C2B2754"/>
    <w:rsid w:val="7C354ADD"/>
    <w:rsid w:val="7C3E3945"/>
    <w:rsid w:val="7C451C6D"/>
    <w:rsid w:val="7C491437"/>
    <w:rsid w:val="7C501917"/>
    <w:rsid w:val="7C505C0D"/>
    <w:rsid w:val="7C5E5DE2"/>
    <w:rsid w:val="7C623C46"/>
    <w:rsid w:val="7C773D89"/>
    <w:rsid w:val="7C7A31E8"/>
    <w:rsid w:val="7C8066DF"/>
    <w:rsid w:val="7C8403E9"/>
    <w:rsid w:val="7C8B61C6"/>
    <w:rsid w:val="7C987149"/>
    <w:rsid w:val="7CA018A0"/>
    <w:rsid w:val="7CAB4D9F"/>
    <w:rsid w:val="7CBB0571"/>
    <w:rsid w:val="7CBE0F77"/>
    <w:rsid w:val="7CE01C71"/>
    <w:rsid w:val="7CE119DD"/>
    <w:rsid w:val="7CEA3B1A"/>
    <w:rsid w:val="7D0C1CE2"/>
    <w:rsid w:val="7D0C37AE"/>
    <w:rsid w:val="7D124E1E"/>
    <w:rsid w:val="7D126BCC"/>
    <w:rsid w:val="7D134C35"/>
    <w:rsid w:val="7D1B6255"/>
    <w:rsid w:val="7D1D3EEF"/>
    <w:rsid w:val="7D1E0C87"/>
    <w:rsid w:val="7D1E37C3"/>
    <w:rsid w:val="7D2018F3"/>
    <w:rsid w:val="7D2A5BF5"/>
    <w:rsid w:val="7D2D3A06"/>
    <w:rsid w:val="7D2E2F95"/>
    <w:rsid w:val="7D330D47"/>
    <w:rsid w:val="7D3A2E9F"/>
    <w:rsid w:val="7D4A24CF"/>
    <w:rsid w:val="7D562A61"/>
    <w:rsid w:val="7D586CD5"/>
    <w:rsid w:val="7D5B4A17"/>
    <w:rsid w:val="7D5F4F94"/>
    <w:rsid w:val="7D627B54"/>
    <w:rsid w:val="7D633BB7"/>
    <w:rsid w:val="7D696557"/>
    <w:rsid w:val="7D7004C3"/>
    <w:rsid w:val="7D746BCE"/>
    <w:rsid w:val="7D7E4262"/>
    <w:rsid w:val="7D8B7F12"/>
    <w:rsid w:val="7D913E48"/>
    <w:rsid w:val="7D9605CF"/>
    <w:rsid w:val="7D995266"/>
    <w:rsid w:val="7D9A5540"/>
    <w:rsid w:val="7DA40658"/>
    <w:rsid w:val="7DB3663A"/>
    <w:rsid w:val="7DB41730"/>
    <w:rsid w:val="7DD01E3C"/>
    <w:rsid w:val="7DDB1F92"/>
    <w:rsid w:val="7DE52C86"/>
    <w:rsid w:val="7DE84892"/>
    <w:rsid w:val="7DE90E7A"/>
    <w:rsid w:val="7DEB5D9B"/>
    <w:rsid w:val="7DED1D5D"/>
    <w:rsid w:val="7DFD5ACF"/>
    <w:rsid w:val="7DFD6E9D"/>
    <w:rsid w:val="7DFE3E1C"/>
    <w:rsid w:val="7DFF19AE"/>
    <w:rsid w:val="7DFF35F5"/>
    <w:rsid w:val="7E141C5B"/>
    <w:rsid w:val="7E142CC9"/>
    <w:rsid w:val="7E1654DD"/>
    <w:rsid w:val="7E1B39D0"/>
    <w:rsid w:val="7E1D4190"/>
    <w:rsid w:val="7E265025"/>
    <w:rsid w:val="7E2D7EC0"/>
    <w:rsid w:val="7E2E0D2F"/>
    <w:rsid w:val="7E3F39F1"/>
    <w:rsid w:val="7E43278F"/>
    <w:rsid w:val="7E470AF8"/>
    <w:rsid w:val="7E5020A2"/>
    <w:rsid w:val="7E57724E"/>
    <w:rsid w:val="7E591188"/>
    <w:rsid w:val="7E5C0A47"/>
    <w:rsid w:val="7E60325B"/>
    <w:rsid w:val="7E6B2A38"/>
    <w:rsid w:val="7E6C7585"/>
    <w:rsid w:val="7E7F0292"/>
    <w:rsid w:val="7E8027CC"/>
    <w:rsid w:val="7E81225C"/>
    <w:rsid w:val="7E874599"/>
    <w:rsid w:val="7E89147E"/>
    <w:rsid w:val="7E8B30DA"/>
    <w:rsid w:val="7E8C1282"/>
    <w:rsid w:val="7E8D29AE"/>
    <w:rsid w:val="7E9215C2"/>
    <w:rsid w:val="7E9D3645"/>
    <w:rsid w:val="7EB0669D"/>
    <w:rsid w:val="7EC61EAE"/>
    <w:rsid w:val="7EC87F1D"/>
    <w:rsid w:val="7ECC7ED2"/>
    <w:rsid w:val="7ECF1219"/>
    <w:rsid w:val="7ED0413F"/>
    <w:rsid w:val="7ED30E3D"/>
    <w:rsid w:val="7ED55E17"/>
    <w:rsid w:val="7EE43D02"/>
    <w:rsid w:val="7EEE6F0F"/>
    <w:rsid w:val="7EF24F07"/>
    <w:rsid w:val="7EF375CC"/>
    <w:rsid w:val="7F020943"/>
    <w:rsid w:val="7F0B2451"/>
    <w:rsid w:val="7F1F3CFE"/>
    <w:rsid w:val="7F2176B8"/>
    <w:rsid w:val="7F2A644F"/>
    <w:rsid w:val="7F4D1BD3"/>
    <w:rsid w:val="7F4D213E"/>
    <w:rsid w:val="7F5E434B"/>
    <w:rsid w:val="7F625BE9"/>
    <w:rsid w:val="7F6A3658"/>
    <w:rsid w:val="7F765B38"/>
    <w:rsid w:val="7F820039"/>
    <w:rsid w:val="7F854225"/>
    <w:rsid w:val="7F89419D"/>
    <w:rsid w:val="7F8E192E"/>
    <w:rsid w:val="7F967F89"/>
    <w:rsid w:val="7F9E211A"/>
    <w:rsid w:val="7F9E757D"/>
    <w:rsid w:val="7FAE5DB0"/>
    <w:rsid w:val="7FC543CA"/>
    <w:rsid w:val="7FC70D8A"/>
    <w:rsid w:val="7FCB4E0E"/>
    <w:rsid w:val="7FCC5758"/>
    <w:rsid w:val="7FD12D6F"/>
    <w:rsid w:val="7FEB5F18"/>
    <w:rsid w:val="7FEE1B73"/>
    <w:rsid w:val="7FFA447F"/>
    <w:rsid w:val="BA7BB93D"/>
    <w:rsid w:val="BD1D994F"/>
    <w:rsid w:val="E7BB04E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宋体" w:hAnsi="宋体" w:eastAsia="宋体" w:cs="宋体"/>
      <w:kern w:val="2"/>
      <w:sz w:val="24"/>
      <w:szCs w:val="24"/>
      <w:lang w:val="en-US" w:eastAsia="zh-CN" w:bidi="ar-SA"/>
    </w:rPr>
  </w:style>
  <w:style w:type="paragraph" w:styleId="2">
    <w:name w:val="heading 1"/>
    <w:basedOn w:val="1"/>
    <w:next w:val="1"/>
    <w:link w:val="48"/>
    <w:qFormat/>
    <w:uiPriority w:val="0"/>
    <w:pPr>
      <w:keepNext/>
      <w:keepLines/>
      <w:autoSpaceDE w:val="0"/>
      <w:autoSpaceDN w:val="0"/>
      <w:adjustRightInd w:val="0"/>
      <w:jc w:val="center"/>
      <w:outlineLvl w:val="0"/>
    </w:pPr>
    <w:rPr>
      <w:b/>
      <w:kern w:val="44"/>
      <w:sz w:val="44"/>
      <w:szCs w:val="20"/>
    </w:rPr>
  </w:style>
  <w:style w:type="paragraph" w:styleId="3">
    <w:name w:val="heading 2"/>
    <w:basedOn w:val="1"/>
    <w:next w:val="1"/>
    <w:qFormat/>
    <w:uiPriority w:val="0"/>
    <w:pPr>
      <w:keepNext/>
      <w:keepLines/>
      <w:autoSpaceDE w:val="0"/>
      <w:autoSpaceDN w:val="0"/>
      <w:adjustRightInd w:val="0"/>
      <w:jc w:val="center"/>
      <w:outlineLvl w:val="1"/>
    </w:pPr>
    <w:rPr>
      <w:b/>
      <w:kern w:val="0"/>
      <w:sz w:val="32"/>
      <w:szCs w:val="20"/>
    </w:rPr>
  </w:style>
  <w:style w:type="paragraph" w:styleId="4">
    <w:name w:val="heading 3"/>
    <w:basedOn w:val="1"/>
    <w:next w:val="1"/>
    <w:qFormat/>
    <w:uiPriority w:val="0"/>
    <w:pPr>
      <w:keepNext/>
      <w:keepLines/>
      <w:autoSpaceDE w:val="0"/>
      <w:autoSpaceDN w:val="0"/>
      <w:adjustRightInd w:val="0"/>
      <w:spacing w:before="360" w:after="120"/>
      <w:outlineLvl w:val="2"/>
    </w:pPr>
    <w:rPr>
      <w:b/>
      <w:kern w:val="0"/>
      <w:szCs w:val="20"/>
      <w:u w:val="single"/>
    </w:rPr>
  </w:style>
  <w:style w:type="paragraph" w:styleId="5">
    <w:name w:val="heading 4"/>
    <w:basedOn w:val="1"/>
    <w:next w:val="1"/>
    <w:link w:val="49"/>
    <w:qFormat/>
    <w:uiPriority w:val="99"/>
    <w:pPr>
      <w:keepNext/>
      <w:keepLines/>
      <w:spacing w:before="280" w:after="290" w:line="376" w:lineRule="auto"/>
      <w:outlineLvl w:val="3"/>
    </w:pPr>
    <w:rPr>
      <w:rFonts w:ascii="Cambria" w:hAnsi="Cambria" w:cs="Cambria"/>
      <w:b/>
      <w:bCs/>
      <w:sz w:val="28"/>
      <w:szCs w:val="28"/>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2520" w:leftChars="1200"/>
    </w:pPr>
    <w:rPr>
      <w:rFonts w:asciiTheme="minorHAnsi" w:hAnsiTheme="minorHAnsi" w:eastAsiaTheme="minorEastAsia" w:cstheme="minorBidi"/>
      <w:szCs w:val="22"/>
    </w:rPr>
  </w:style>
  <w:style w:type="paragraph" w:styleId="7">
    <w:name w:val="table of authorities"/>
    <w:basedOn w:val="1"/>
    <w:next w:val="1"/>
    <w:qFormat/>
    <w:uiPriority w:val="0"/>
    <w:pPr>
      <w:ind w:left="420" w:leftChars="200"/>
    </w:pPr>
  </w:style>
  <w:style w:type="paragraph" w:styleId="8">
    <w:name w:val="Normal Indent"/>
    <w:basedOn w:val="1"/>
    <w:next w:val="1"/>
    <w:qFormat/>
    <w:uiPriority w:val="0"/>
    <w:pPr>
      <w:autoSpaceDE w:val="0"/>
      <w:autoSpaceDN w:val="0"/>
      <w:adjustRightInd w:val="0"/>
      <w:ind w:firstLine="420"/>
    </w:pPr>
    <w:rPr>
      <w:kern w:val="0"/>
      <w:szCs w:val="20"/>
    </w:rPr>
  </w:style>
  <w:style w:type="paragraph" w:styleId="9">
    <w:name w:val="annotation text"/>
    <w:basedOn w:val="1"/>
    <w:link w:val="62"/>
    <w:qFormat/>
    <w:uiPriority w:val="0"/>
  </w:style>
  <w:style w:type="paragraph" w:styleId="10">
    <w:name w:val="Body Text"/>
    <w:basedOn w:val="1"/>
    <w:link w:val="44"/>
    <w:qFormat/>
    <w:uiPriority w:val="0"/>
    <w:pPr>
      <w:tabs>
        <w:tab w:val="left" w:pos="567"/>
      </w:tabs>
      <w:spacing w:before="120" w:line="22" w:lineRule="atLeast"/>
    </w:pPr>
  </w:style>
  <w:style w:type="paragraph" w:styleId="11">
    <w:name w:val="Body Text Indent"/>
    <w:basedOn w:val="1"/>
    <w:qFormat/>
    <w:uiPriority w:val="0"/>
    <w:pPr>
      <w:ind w:firstLine="645"/>
    </w:pPr>
    <w:rPr>
      <w:rFonts w:ascii="楷体_GB2312" w:eastAsia="楷体_GB2312"/>
      <w:sz w:val="32"/>
    </w:rPr>
  </w:style>
  <w:style w:type="paragraph" w:styleId="12">
    <w:name w:val="List 2"/>
    <w:basedOn w:val="1"/>
    <w:qFormat/>
    <w:uiPriority w:val="99"/>
    <w:pPr>
      <w:ind w:left="100" w:leftChars="200" w:hanging="200" w:hangingChars="200"/>
    </w:pPr>
    <w:rPr>
      <w:rFonts w:ascii="Calibri" w:hAnsi="Calibri"/>
      <w:szCs w:val="22"/>
    </w:rPr>
  </w:style>
  <w:style w:type="paragraph" w:styleId="13">
    <w:name w:val="toc 5"/>
    <w:basedOn w:val="1"/>
    <w:next w:val="1"/>
    <w:unhideWhenUsed/>
    <w:qFormat/>
    <w:uiPriority w:val="39"/>
    <w:pPr>
      <w:ind w:left="1680" w:leftChars="800"/>
    </w:pPr>
    <w:rPr>
      <w:rFonts w:asciiTheme="minorHAnsi" w:hAnsiTheme="minorHAnsi" w:eastAsiaTheme="minorEastAsia" w:cstheme="minorBidi"/>
      <w:szCs w:val="22"/>
    </w:rPr>
  </w:style>
  <w:style w:type="paragraph" w:styleId="14">
    <w:name w:val="toc 3"/>
    <w:basedOn w:val="1"/>
    <w:next w:val="1"/>
    <w:qFormat/>
    <w:uiPriority w:val="39"/>
    <w:pPr>
      <w:tabs>
        <w:tab w:val="left" w:pos="1260"/>
        <w:tab w:val="right" w:leader="dot" w:pos="8630"/>
      </w:tabs>
      <w:ind w:left="840" w:leftChars="400"/>
    </w:pPr>
  </w:style>
  <w:style w:type="paragraph" w:styleId="15">
    <w:name w:val="Plain Text"/>
    <w:basedOn w:val="1"/>
    <w:next w:val="1"/>
    <w:link w:val="45"/>
    <w:qFormat/>
    <w:uiPriority w:val="0"/>
    <w:rPr>
      <w:rFonts w:hAnsi="Courier New"/>
      <w:szCs w:val="20"/>
    </w:rPr>
  </w:style>
  <w:style w:type="paragraph" w:styleId="16">
    <w:name w:val="toc 8"/>
    <w:basedOn w:val="1"/>
    <w:next w:val="1"/>
    <w:unhideWhenUsed/>
    <w:qFormat/>
    <w:uiPriority w:val="39"/>
    <w:pPr>
      <w:ind w:left="2940" w:leftChars="1400"/>
    </w:pPr>
    <w:rPr>
      <w:rFonts w:asciiTheme="minorHAnsi" w:hAnsiTheme="minorHAnsi" w:eastAsiaTheme="minorEastAsia" w:cstheme="minorBidi"/>
      <w:szCs w:val="22"/>
    </w:rPr>
  </w:style>
  <w:style w:type="paragraph" w:styleId="17">
    <w:name w:val="footer"/>
    <w:basedOn w:val="1"/>
    <w:qFormat/>
    <w:uiPriority w:val="99"/>
    <w:pPr>
      <w:tabs>
        <w:tab w:val="center" w:pos="4153"/>
        <w:tab w:val="right" w:pos="8306"/>
      </w:tabs>
      <w:autoSpaceDE w:val="0"/>
      <w:autoSpaceDN w:val="0"/>
      <w:adjustRightInd w:val="0"/>
      <w:snapToGrid w:val="0"/>
    </w:pPr>
    <w:rPr>
      <w:kern w:val="0"/>
      <w:sz w:val="18"/>
      <w:szCs w:val="20"/>
    </w:rPr>
  </w:style>
  <w:style w:type="paragraph" w:styleId="18">
    <w:name w:val="envelope return"/>
    <w:basedOn w:val="1"/>
    <w:qFormat/>
    <w:uiPriority w:val="0"/>
    <w:pPr>
      <w:snapToGrid w:val="0"/>
      <w:jc w:val="both"/>
    </w:pPr>
    <w:rPr>
      <w:rFonts w:ascii="Arial" w:hAnsi="Arial" w:cs="Times New Roman"/>
      <w:sz w:val="21"/>
    </w:rPr>
  </w:style>
  <w:style w:type="paragraph" w:styleId="1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style>
  <w:style w:type="paragraph" w:styleId="21">
    <w:name w:val="toc 4"/>
    <w:basedOn w:val="1"/>
    <w:next w:val="1"/>
    <w:unhideWhenUsed/>
    <w:qFormat/>
    <w:uiPriority w:val="39"/>
    <w:pPr>
      <w:ind w:left="1260" w:leftChars="600"/>
    </w:pPr>
    <w:rPr>
      <w:rFonts w:asciiTheme="minorHAnsi" w:hAnsiTheme="minorHAnsi" w:eastAsiaTheme="minorEastAsia" w:cstheme="minorBidi"/>
      <w:szCs w:val="22"/>
    </w:rPr>
  </w:style>
  <w:style w:type="paragraph" w:styleId="22">
    <w:name w:val="toc 6"/>
    <w:basedOn w:val="1"/>
    <w:next w:val="1"/>
    <w:unhideWhenUsed/>
    <w:qFormat/>
    <w:uiPriority w:val="39"/>
    <w:pPr>
      <w:ind w:left="2100" w:leftChars="1000"/>
    </w:pPr>
    <w:rPr>
      <w:rFonts w:asciiTheme="minorHAnsi" w:hAnsiTheme="minorHAnsi" w:eastAsiaTheme="minorEastAsia" w:cstheme="minorBidi"/>
      <w:szCs w:val="22"/>
    </w:rPr>
  </w:style>
  <w:style w:type="paragraph" w:styleId="23">
    <w:name w:val="toc 2"/>
    <w:basedOn w:val="1"/>
    <w:next w:val="1"/>
    <w:qFormat/>
    <w:uiPriority w:val="39"/>
    <w:pPr>
      <w:ind w:left="420" w:leftChars="200"/>
    </w:pPr>
  </w:style>
  <w:style w:type="paragraph" w:styleId="24">
    <w:name w:val="toc 9"/>
    <w:basedOn w:val="1"/>
    <w:next w:val="1"/>
    <w:unhideWhenUsed/>
    <w:qFormat/>
    <w:uiPriority w:val="39"/>
    <w:pPr>
      <w:ind w:left="3360" w:leftChars="1600"/>
    </w:pPr>
    <w:rPr>
      <w:rFonts w:asciiTheme="minorHAnsi" w:hAnsiTheme="minorHAnsi" w:eastAsiaTheme="minorEastAsia" w:cstheme="minorBidi"/>
      <w:szCs w:val="22"/>
    </w:rPr>
  </w:style>
  <w:style w:type="paragraph" w:styleId="25">
    <w:name w:val="Body Text 2"/>
    <w:basedOn w:val="1"/>
    <w:qFormat/>
    <w:uiPriority w:val="0"/>
    <w:pPr>
      <w:spacing w:after="120" w:line="480" w:lineRule="auto"/>
    </w:pPr>
  </w:style>
  <w:style w:type="paragraph" w:styleId="26">
    <w:name w:val="Normal (Web)"/>
    <w:basedOn w:val="1"/>
    <w:qFormat/>
    <w:uiPriority w:val="0"/>
    <w:pPr>
      <w:spacing w:beforeAutospacing="1" w:afterAutospacing="1"/>
    </w:pPr>
    <w:rPr>
      <w:kern w:val="0"/>
    </w:rPr>
  </w:style>
  <w:style w:type="paragraph" w:styleId="27">
    <w:name w:val="annotation subject"/>
    <w:basedOn w:val="9"/>
    <w:next w:val="9"/>
    <w:link w:val="63"/>
    <w:qFormat/>
    <w:uiPriority w:val="0"/>
    <w:rPr>
      <w:b/>
      <w:bCs/>
    </w:rPr>
  </w:style>
  <w:style w:type="paragraph" w:styleId="28">
    <w:name w:val="Body Text First Indent"/>
    <w:basedOn w:val="10"/>
    <w:next w:val="22"/>
    <w:qFormat/>
    <w:uiPriority w:val="0"/>
    <w:pPr>
      <w:spacing w:line="312" w:lineRule="auto"/>
      <w:ind w:firstLine="420"/>
    </w:pPr>
  </w:style>
  <w:style w:type="paragraph" w:styleId="29">
    <w:name w:val="Body Text First Indent 2"/>
    <w:basedOn w:val="11"/>
    <w:qFormat/>
    <w:uiPriority w:val="0"/>
    <w:pPr>
      <w:ind w:firstLine="420"/>
    </w:pPr>
  </w:style>
  <w:style w:type="table" w:styleId="31">
    <w:name w:val="Table Grid"/>
    <w:basedOn w:val="3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basedOn w:val="32"/>
    <w:qFormat/>
    <w:uiPriority w:val="0"/>
    <w:rPr>
      <w:b/>
    </w:rPr>
  </w:style>
  <w:style w:type="character" w:styleId="34">
    <w:name w:val="page number"/>
    <w:basedOn w:val="32"/>
    <w:qFormat/>
    <w:uiPriority w:val="0"/>
  </w:style>
  <w:style w:type="character" w:styleId="35">
    <w:name w:val="Hyperlink"/>
    <w:basedOn w:val="32"/>
    <w:qFormat/>
    <w:uiPriority w:val="99"/>
    <w:rPr>
      <w:color w:val="333333"/>
      <w:u w:val="none"/>
    </w:rPr>
  </w:style>
  <w:style w:type="character" w:styleId="36">
    <w:name w:val="annotation reference"/>
    <w:basedOn w:val="32"/>
    <w:qFormat/>
    <w:uiPriority w:val="0"/>
    <w:rPr>
      <w:sz w:val="21"/>
      <w:szCs w:val="21"/>
    </w:rPr>
  </w:style>
  <w:style w:type="paragraph" w:customStyle="1" w:styleId="37">
    <w:name w:val="Default"/>
    <w:next w:val="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8">
    <w:name w:val="首行缩进"/>
    <w:basedOn w:val="1"/>
    <w:next w:val="1"/>
    <w:qFormat/>
    <w:uiPriority w:val="0"/>
    <w:pPr>
      <w:ind w:firstLine="480" w:firstLineChars="200"/>
    </w:pPr>
  </w:style>
  <w:style w:type="paragraph" w:customStyle="1" w:styleId="39">
    <w:name w:val="目录 61"/>
    <w:next w:val="1"/>
    <w:qFormat/>
    <w:uiPriority w:val="0"/>
    <w:pPr>
      <w:wordWrap w:val="0"/>
      <w:ind w:left="2125"/>
      <w:jc w:val="both"/>
    </w:pPr>
    <w:rPr>
      <w:rFonts w:ascii="Calibri" w:hAnsi="Calibri" w:eastAsia="宋体" w:cs="Times New Roman"/>
      <w:sz w:val="21"/>
      <w:lang w:val="en-US" w:eastAsia="zh-CN" w:bidi="ar-SA"/>
    </w:rPr>
  </w:style>
  <w:style w:type="paragraph" w:customStyle="1" w:styleId="40">
    <w:name w:val="toc 41"/>
    <w:next w:val="1"/>
    <w:qFormat/>
    <w:uiPriority w:val="0"/>
    <w:pPr>
      <w:wordWrap w:val="0"/>
      <w:ind w:left="1275"/>
      <w:jc w:val="both"/>
    </w:pPr>
    <w:rPr>
      <w:rFonts w:ascii="Calibri" w:hAnsi="Calibri" w:eastAsia="宋体" w:cs="Times New Roman"/>
      <w:sz w:val="21"/>
      <w:lang w:val="en-US" w:eastAsia="zh-CN" w:bidi="ar-SA"/>
    </w:rPr>
  </w:style>
  <w:style w:type="paragraph" w:customStyle="1" w:styleId="41">
    <w:name w:val="列出段落1"/>
    <w:basedOn w:val="1"/>
    <w:next w:val="1"/>
    <w:unhideWhenUsed/>
    <w:qFormat/>
    <w:uiPriority w:val="99"/>
    <w:pPr>
      <w:ind w:firstLine="420" w:firstLineChars="200"/>
    </w:pPr>
  </w:style>
  <w:style w:type="paragraph" w:customStyle="1" w:styleId="42">
    <w:name w:val="_Style 2"/>
    <w:next w:val="1"/>
    <w:qFormat/>
    <w:uiPriority w:val="0"/>
    <w:pPr>
      <w:wordWrap w:val="0"/>
    </w:pPr>
    <w:rPr>
      <w:rFonts w:ascii="Times New Roman" w:hAnsi="Times New Roman" w:eastAsia="宋体" w:cs="Times New Roman"/>
      <w:sz w:val="32"/>
      <w:szCs w:val="22"/>
      <w:lang w:val="en-US" w:eastAsia="zh-CN" w:bidi="ar-SA"/>
    </w:rPr>
  </w:style>
  <w:style w:type="character" w:customStyle="1" w:styleId="43">
    <w:name w:val="fontstyle01"/>
    <w:qFormat/>
    <w:uiPriority w:val="0"/>
    <w:rPr>
      <w:rFonts w:hint="eastAsia" w:ascii="宋体" w:hAnsi="宋体" w:eastAsia="宋体"/>
      <w:color w:val="000000"/>
      <w:sz w:val="22"/>
      <w:szCs w:val="22"/>
    </w:rPr>
  </w:style>
  <w:style w:type="character" w:customStyle="1" w:styleId="44">
    <w:name w:val="正文文本 字符"/>
    <w:link w:val="10"/>
    <w:qFormat/>
    <w:uiPriority w:val="0"/>
    <w:rPr>
      <w:rFonts w:ascii="宋体" w:hAnsi="宋体"/>
      <w:kern w:val="2"/>
      <w:sz w:val="24"/>
      <w:szCs w:val="24"/>
    </w:rPr>
  </w:style>
  <w:style w:type="character" w:customStyle="1" w:styleId="45">
    <w:name w:val="纯文本 字符1"/>
    <w:link w:val="15"/>
    <w:qFormat/>
    <w:uiPriority w:val="0"/>
    <w:rPr>
      <w:rFonts w:ascii="宋体" w:hAnsi="Courier New"/>
      <w:kern w:val="2"/>
      <w:sz w:val="21"/>
    </w:rPr>
  </w:style>
  <w:style w:type="character" w:customStyle="1" w:styleId="46">
    <w:name w:val="正文缩进 Char1"/>
    <w:link w:val="47"/>
    <w:qFormat/>
    <w:uiPriority w:val="0"/>
    <w:rPr>
      <w:rFonts w:ascii="宋体"/>
      <w:sz w:val="24"/>
    </w:rPr>
  </w:style>
  <w:style w:type="paragraph" w:customStyle="1" w:styleId="47">
    <w:name w:val="正文缩进1"/>
    <w:basedOn w:val="1"/>
    <w:link w:val="46"/>
    <w:qFormat/>
    <w:uiPriority w:val="0"/>
    <w:pPr>
      <w:autoSpaceDE w:val="0"/>
      <w:autoSpaceDN w:val="0"/>
      <w:adjustRightInd w:val="0"/>
      <w:ind w:firstLine="420"/>
    </w:pPr>
    <w:rPr>
      <w:kern w:val="0"/>
      <w:szCs w:val="20"/>
    </w:rPr>
  </w:style>
  <w:style w:type="character" w:customStyle="1" w:styleId="48">
    <w:name w:val="标题 1 字符"/>
    <w:link w:val="2"/>
    <w:qFormat/>
    <w:uiPriority w:val="0"/>
    <w:rPr>
      <w:rFonts w:ascii="宋体" w:hAnsi="宋体" w:eastAsia="宋体" w:cs="宋体"/>
      <w:b/>
      <w:kern w:val="44"/>
      <w:sz w:val="44"/>
    </w:rPr>
  </w:style>
  <w:style w:type="character" w:customStyle="1" w:styleId="49">
    <w:name w:val="标题 4 字符"/>
    <w:basedOn w:val="32"/>
    <w:link w:val="5"/>
    <w:qFormat/>
    <w:uiPriority w:val="99"/>
    <w:rPr>
      <w:rFonts w:ascii="Cambria" w:hAnsi="Cambria" w:cs="Cambria"/>
      <w:b/>
      <w:bCs/>
      <w:kern w:val="2"/>
      <w:sz w:val="28"/>
      <w:szCs w:val="28"/>
    </w:rPr>
  </w:style>
  <w:style w:type="character" w:customStyle="1" w:styleId="50">
    <w:name w:val="纯文本 字符"/>
    <w:qFormat/>
    <w:uiPriority w:val="0"/>
    <w:rPr>
      <w:rFonts w:ascii="宋体" w:hAnsi="Courier New"/>
      <w:kern w:val="2"/>
      <w:sz w:val="21"/>
    </w:rPr>
  </w:style>
  <w:style w:type="paragraph" w:customStyle="1" w:styleId="51">
    <w:name w:val="_Style 32"/>
    <w:basedOn w:val="1"/>
    <w:next w:val="41"/>
    <w:qFormat/>
    <w:uiPriority w:val="34"/>
    <w:pPr>
      <w:widowControl/>
      <w:ind w:firstLine="420" w:firstLineChars="200"/>
    </w:pPr>
    <w:rPr>
      <w:rFonts w:ascii="Times New Roman" w:hAnsi="Times New Roman"/>
      <w:kern w:val="0"/>
    </w:rPr>
  </w:style>
  <w:style w:type="paragraph" w:styleId="52">
    <w:name w:val="List Paragraph"/>
    <w:basedOn w:val="1"/>
    <w:qFormat/>
    <w:uiPriority w:val="34"/>
    <w:pPr>
      <w:ind w:firstLine="420" w:firstLineChars="200"/>
    </w:pPr>
  </w:style>
  <w:style w:type="paragraph" w:customStyle="1" w:styleId="53">
    <w:name w:val="WPSOffice手动目录 1"/>
    <w:qFormat/>
    <w:uiPriority w:val="0"/>
    <w:rPr>
      <w:rFonts w:asciiTheme="minorHAnsi" w:hAnsiTheme="minorHAnsi" w:eastAsiaTheme="minorEastAsia" w:cstheme="minorBidi"/>
      <w:lang w:val="en-US" w:eastAsia="zh-CN" w:bidi="ar-SA"/>
    </w:rPr>
  </w:style>
  <w:style w:type="paragraph" w:customStyle="1" w:styleId="54">
    <w:name w:val="WPSOffice手动目录 2"/>
    <w:qFormat/>
    <w:uiPriority w:val="0"/>
    <w:pPr>
      <w:ind w:left="200" w:leftChars="200"/>
    </w:pPr>
    <w:rPr>
      <w:rFonts w:asciiTheme="minorHAnsi" w:hAnsiTheme="minorHAnsi" w:eastAsiaTheme="minorEastAsia" w:cstheme="minorBidi"/>
      <w:lang w:val="en-US" w:eastAsia="zh-CN" w:bidi="ar-SA"/>
    </w:rPr>
  </w:style>
  <w:style w:type="paragraph" w:customStyle="1" w:styleId="55">
    <w:name w:val="WPSOffice手动目录 3"/>
    <w:qFormat/>
    <w:uiPriority w:val="0"/>
    <w:pPr>
      <w:ind w:left="400" w:leftChars="400"/>
    </w:pPr>
    <w:rPr>
      <w:rFonts w:asciiTheme="minorHAnsi" w:hAnsiTheme="minorHAnsi" w:eastAsiaTheme="minorEastAsia" w:cstheme="minorBidi"/>
      <w:lang w:val="en-US" w:eastAsia="zh-CN" w:bidi="ar-SA"/>
    </w:rPr>
  </w:style>
  <w:style w:type="paragraph" w:styleId="56">
    <w:name w:val="No Spacing"/>
    <w:qFormat/>
    <w:uiPriority w:val="1"/>
    <w:rPr>
      <w:rFonts w:ascii="Calibri" w:hAnsi="Calibri" w:eastAsia="宋体" w:cs="Arial"/>
      <w:lang w:val="en-US" w:eastAsia="zh-CN" w:bidi="ar-SA"/>
    </w:rPr>
  </w:style>
  <w:style w:type="paragraph" w:customStyle="1" w:styleId="57">
    <w:name w:val="Table Paragraph"/>
    <w:basedOn w:val="1"/>
    <w:qFormat/>
    <w:uiPriority w:val="1"/>
    <w:rPr>
      <w:lang w:val="zh-CN" w:bidi="zh-CN"/>
    </w:rPr>
  </w:style>
  <w:style w:type="table" w:customStyle="1" w:styleId="58">
    <w:name w:val="Table Normal"/>
    <w:semiHidden/>
    <w:unhideWhenUsed/>
    <w:qFormat/>
    <w:uiPriority w:val="0"/>
    <w:tblPr>
      <w:tblCellMar>
        <w:top w:w="0" w:type="dxa"/>
        <w:left w:w="0" w:type="dxa"/>
        <w:bottom w:w="0" w:type="dxa"/>
        <w:right w:w="0" w:type="dxa"/>
      </w:tblCellMar>
    </w:tblPr>
  </w:style>
  <w:style w:type="paragraph" w:customStyle="1" w:styleId="59">
    <w:name w:val="toc 61"/>
    <w:next w:val="1"/>
    <w:qFormat/>
    <w:uiPriority w:val="0"/>
    <w:pPr>
      <w:wordWrap w:val="0"/>
      <w:ind w:left="2125"/>
      <w:jc w:val="both"/>
    </w:pPr>
    <w:rPr>
      <w:rFonts w:ascii="Calibri" w:hAnsi="Calibri" w:eastAsia="宋体" w:cs="Times New Roman"/>
      <w:sz w:val="21"/>
      <w:lang w:val="en-US" w:eastAsia="zh-CN" w:bidi="ar-SA"/>
    </w:rPr>
  </w:style>
  <w:style w:type="character" w:customStyle="1" w:styleId="60">
    <w:name w:val="NormalCharacter"/>
    <w:qFormat/>
    <w:uiPriority w:val="0"/>
  </w:style>
  <w:style w:type="paragraph" w:customStyle="1" w:styleId="61">
    <w:name w:val="样式 样式 左侧:  2 字符 + 左侧:  0.85 厘米 首行缩进:  2 字符1"/>
    <w:basedOn w:val="1"/>
    <w:qFormat/>
    <w:uiPriority w:val="0"/>
    <w:pPr>
      <w:ind w:left="482" w:firstLine="200" w:firstLineChars="200"/>
    </w:pPr>
    <w:rPr>
      <w:rFonts w:ascii="Times New Roman" w:hAnsi="Times New Roman"/>
      <w:szCs w:val="20"/>
    </w:rPr>
  </w:style>
  <w:style w:type="character" w:customStyle="1" w:styleId="62">
    <w:name w:val="批注文字 字符"/>
    <w:basedOn w:val="32"/>
    <w:link w:val="9"/>
    <w:qFormat/>
    <w:uiPriority w:val="0"/>
    <w:rPr>
      <w:rFonts w:ascii="宋体" w:hAnsi="宋体" w:cs="宋体"/>
      <w:kern w:val="2"/>
      <w:sz w:val="24"/>
      <w:szCs w:val="24"/>
    </w:rPr>
  </w:style>
  <w:style w:type="character" w:customStyle="1" w:styleId="63">
    <w:name w:val="批注主题 字符"/>
    <w:basedOn w:val="62"/>
    <w:link w:val="27"/>
    <w:qFormat/>
    <w:uiPriority w:val="0"/>
    <w:rPr>
      <w:rFonts w:ascii="宋体" w:hAnsi="宋体" w:cs="宋体"/>
      <w:b/>
      <w:bCs/>
      <w:kern w:val="2"/>
      <w:sz w:val="24"/>
      <w:szCs w:val="24"/>
    </w:rPr>
  </w:style>
  <w:style w:type="paragraph" w:customStyle="1" w:styleId="64">
    <w:name w:val="正文样式"/>
    <w:basedOn w:val="1"/>
    <w:qFormat/>
    <w:uiPriority w:val="0"/>
    <w:pPr>
      <w:adjustRightInd w:val="0"/>
      <w:snapToGrid w:val="0"/>
      <w:spacing w:beforeLines="50" w:afterLines="50" w:line="312" w:lineRule="auto"/>
      <w:ind w:firstLine="480" w:firstLineChars="200"/>
    </w:pPr>
  </w:style>
  <w:style w:type="character" w:customStyle="1" w:styleId="65">
    <w:name w:val="font21"/>
    <w:basedOn w:val="32"/>
    <w:qFormat/>
    <w:uiPriority w:val="0"/>
    <w:rPr>
      <w:rFonts w:hint="default" w:ascii="宋体-简" w:hAnsi="宋体-简" w:eastAsia="宋体-简" w:cs="宋体-简"/>
      <w:color w:val="FF0000"/>
      <w:sz w:val="22"/>
      <w:szCs w:val="22"/>
      <w:u w:val="none"/>
    </w:rPr>
  </w:style>
  <w:style w:type="character" w:customStyle="1" w:styleId="66">
    <w:name w:val="font31"/>
    <w:basedOn w:val="32"/>
    <w:qFormat/>
    <w:uiPriority w:val="0"/>
    <w:rPr>
      <w:rFonts w:hint="default" w:ascii="Times New Roman" w:hAnsi="Times New Roman" w:cs="Times New Roman"/>
      <w:color w:val="000000"/>
      <w:sz w:val="22"/>
      <w:szCs w:val="22"/>
      <w:u w:val="none"/>
    </w:rPr>
  </w:style>
  <w:style w:type="paragraph" w:customStyle="1" w:styleId="67">
    <w:name w:val="编辑正文"/>
    <w:basedOn w:val="1"/>
    <w:qFormat/>
    <w:uiPriority w:val="0"/>
    <w:pPr>
      <w:adjustRightInd w:val="0"/>
      <w:snapToGrid w:val="0"/>
      <w:spacing w:before="62" w:beforeLines="20"/>
      <w:ind w:firstLine="480" w:firstLineChars="200"/>
    </w:pPr>
    <w:rPr>
      <w:rFonts w:cs="Times New Roman"/>
      <w:bCs/>
    </w:rPr>
  </w:style>
  <w:style w:type="paragraph" w:customStyle="1" w:styleId="68">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3.jpeg"/><Relationship Id="rId2" Type="http://schemas.openxmlformats.org/officeDocument/2006/relationships/settings" Target="settings.xml"/><Relationship Id="rId19" Type="http://schemas.openxmlformats.org/officeDocument/2006/relationships/image" Target="media/image2.jpeg"/><Relationship Id="rId18" Type="http://schemas.openxmlformats.org/officeDocument/2006/relationships/image" Target="media/image1.jpeg"/><Relationship Id="rId17" Type="http://schemas.openxmlformats.org/officeDocument/2006/relationships/theme" Target="theme/theme1.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Kingsoft</Company>
  <Pages>62</Pages>
  <Words>8879</Words>
  <Characters>9637</Characters>
  <Lines>1068</Lines>
  <Paragraphs>1112</Paragraphs>
  <TotalTime>50</TotalTime>
  <ScaleCrop>false</ScaleCrop>
  <LinksUpToDate>false</LinksUpToDate>
  <CharactersWithSpaces>9813</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2025-07-21T13:53:00Z</dcterms:created>
  <dc:creator>Administrator</dc:creator>
  <cp:lastModifiedBy>Administrator</cp:lastModifiedBy>
  <cp:lastPrinted>2025-07-24T01:16:00Z</cp:lastPrinted>
  <dcterms:modified xsi:type="dcterms:W3CDTF">2025-10-21T04:04:05Z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413F58FA3F494398B24DC5FB3FC1C590_13</vt:lpwstr>
  </property>
  <property fmtid="{D5CDD505-2E9C-101B-9397-08002B2CF9AE}" pid="4" name="KSOTemplateDocerSaveRecord">
    <vt:lpwstr>eyJoZGlkIjoiMDkzZDFlNzJhMjdkOWRmZDVjZjRiMDFlNzBmNDcwYTYiLCJ1c2VySWQiOiI0MjAxMTQ1ODcifQ==</vt:lpwstr>
  </property>
</Properties>
</file>